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20" w:type="dxa"/>
        <w:tblInd w:w="93" w:type="dxa"/>
        <w:tblLayout w:type="fixed"/>
        <w:tblCellMar>
          <w:top w:w="0" w:type="dxa"/>
          <w:left w:w="108" w:type="dxa"/>
          <w:bottom w:w="0" w:type="dxa"/>
          <w:right w:w="108" w:type="dxa"/>
        </w:tblCellMar>
      </w:tblPr>
      <w:tblGrid>
        <w:gridCol w:w="480"/>
        <w:gridCol w:w="2200"/>
        <w:gridCol w:w="1720"/>
        <w:gridCol w:w="1534"/>
        <w:gridCol w:w="1246"/>
        <w:gridCol w:w="1481"/>
        <w:gridCol w:w="1879"/>
        <w:gridCol w:w="1800"/>
        <w:gridCol w:w="1320"/>
        <w:gridCol w:w="1560"/>
      </w:tblGrid>
      <w:tr>
        <w:tblPrEx>
          <w:tblCellMar>
            <w:top w:w="0" w:type="dxa"/>
            <w:left w:w="108" w:type="dxa"/>
            <w:bottom w:w="0" w:type="dxa"/>
            <w:right w:w="108" w:type="dxa"/>
          </w:tblCellMar>
        </w:tblPrEx>
        <w:trPr>
          <w:trHeight w:val="679" w:hRule="atLeast"/>
        </w:trPr>
        <w:tc>
          <w:tcPr>
            <w:tcW w:w="15220" w:type="dxa"/>
            <w:gridSpan w:val="10"/>
            <w:tcBorders>
              <w:top w:val="nil"/>
              <w:left w:val="nil"/>
              <w:bottom w:val="nil"/>
              <w:right w:val="nil"/>
            </w:tcBorders>
            <w:noWrap w:val="0"/>
            <w:vAlign w:val="center"/>
          </w:tcPr>
          <w:p>
            <w:pPr>
              <w:widowControl/>
              <w:jc w:val="left"/>
              <w:rPr>
                <w:rFonts w:hint="eastAsia" w:ascii="宋体" w:hAnsi="宋体" w:cs="宋体"/>
                <w:b/>
                <w:bCs/>
                <w:kern w:val="0"/>
                <w:sz w:val="28"/>
                <w:szCs w:val="36"/>
              </w:rPr>
            </w:pPr>
            <w:r>
              <w:rPr>
                <w:rFonts w:hint="eastAsia" w:ascii="宋体" w:hAnsi="宋体" w:cs="宋体"/>
                <w:b/>
                <w:bCs/>
                <w:kern w:val="0"/>
                <w:sz w:val="28"/>
                <w:szCs w:val="36"/>
              </w:rPr>
              <w:t xml:space="preserve">附件(1) </w:t>
            </w:r>
          </w:p>
          <w:p>
            <w:pPr>
              <w:widowControl/>
              <w:jc w:val="center"/>
              <w:rPr>
                <w:rFonts w:ascii="宋体" w:hAnsi="宋体" w:cs="宋体"/>
                <w:b/>
                <w:bCs/>
                <w:kern w:val="0"/>
                <w:sz w:val="36"/>
                <w:szCs w:val="36"/>
              </w:rPr>
            </w:pPr>
            <w:r>
              <w:rPr>
                <w:rFonts w:hint="eastAsia" w:ascii="宋体" w:hAnsi="宋体" w:cs="宋体"/>
                <w:b/>
                <w:bCs/>
                <w:kern w:val="0"/>
                <w:sz w:val="36"/>
                <w:szCs w:val="36"/>
              </w:rPr>
              <w:t>评估项目基本情况明细表</w:t>
            </w:r>
          </w:p>
        </w:tc>
      </w:tr>
      <w:tr>
        <w:tblPrEx>
          <w:tblCellMar>
            <w:top w:w="0" w:type="dxa"/>
            <w:left w:w="108" w:type="dxa"/>
            <w:bottom w:w="0" w:type="dxa"/>
            <w:right w:w="108" w:type="dxa"/>
          </w:tblCellMar>
        </w:tblPrEx>
        <w:trPr>
          <w:trHeight w:val="480" w:hRule="atLeast"/>
        </w:trPr>
        <w:tc>
          <w:tcPr>
            <w:tcW w:w="480"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2200"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1720"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1534"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1246"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1481"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1879" w:type="dxa"/>
            <w:tcBorders>
              <w:top w:val="nil"/>
              <w:left w:val="nil"/>
              <w:bottom w:val="nil"/>
              <w:right w:val="nil"/>
            </w:tcBorders>
            <w:noWrap w:val="0"/>
            <w:vAlign w:val="center"/>
          </w:tcPr>
          <w:p>
            <w:pPr>
              <w:widowControl/>
              <w:jc w:val="center"/>
              <w:rPr>
                <w:rFonts w:ascii="宋体" w:hAnsi="宋体" w:cs="宋体"/>
                <w:b/>
                <w:bCs/>
                <w:kern w:val="0"/>
                <w:sz w:val="40"/>
                <w:szCs w:val="40"/>
              </w:rPr>
            </w:pPr>
          </w:p>
        </w:tc>
        <w:tc>
          <w:tcPr>
            <w:tcW w:w="4680" w:type="dxa"/>
            <w:gridSpan w:val="3"/>
            <w:tcBorders>
              <w:top w:val="nil"/>
              <w:left w:val="nil"/>
              <w:bottom w:val="nil"/>
              <w:right w:val="nil"/>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截止日期：     </w:t>
            </w:r>
            <w:r>
              <w:rPr>
                <w:rFonts w:hint="eastAsia" w:ascii="宋体" w:hAnsi="宋体" w:cs="宋体"/>
                <w:b/>
                <w:bCs/>
                <w:kern w:val="0"/>
                <w:sz w:val="22"/>
                <w:szCs w:val="22"/>
                <w:lang w:val="en-US" w:eastAsia="zh-CN"/>
              </w:rPr>
              <w:t>2020</w:t>
            </w:r>
            <w:r>
              <w:rPr>
                <w:rFonts w:hint="eastAsia" w:ascii="宋体" w:hAnsi="宋体" w:cs="宋体"/>
                <w:b/>
                <w:bCs/>
                <w:kern w:val="0"/>
                <w:sz w:val="22"/>
                <w:szCs w:val="22"/>
              </w:rPr>
              <w:t xml:space="preserve">年 </w:t>
            </w:r>
            <w:r>
              <w:rPr>
                <w:rFonts w:hint="eastAsia" w:ascii="宋体" w:hAnsi="宋体" w:cs="宋体"/>
                <w:b/>
                <w:bCs/>
                <w:kern w:val="0"/>
                <w:sz w:val="22"/>
                <w:szCs w:val="22"/>
                <w:lang w:val="en-US" w:eastAsia="zh-CN"/>
              </w:rPr>
              <w:t>3</w:t>
            </w:r>
            <w:r>
              <w:rPr>
                <w:rFonts w:hint="eastAsia" w:ascii="宋体" w:hAnsi="宋体" w:cs="宋体"/>
                <w:b/>
                <w:bCs/>
                <w:kern w:val="0"/>
                <w:sz w:val="22"/>
                <w:szCs w:val="22"/>
              </w:rPr>
              <w:t>月</w:t>
            </w:r>
            <w:r>
              <w:rPr>
                <w:rFonts w:hint="eastAsia" w:ascii="宋体" w:hAnsi="宋体" w:cs="宋体"/>
                <w:b/>
                <w:bCs/>
                <w:kern w:val="0"/>
                <w:sz w:val="22"/>
                <w:szCs w:val="22"/>
                <w:lang w:val="en-US" w:eastAsia="zh-CN"/>
              </w:rPr>
              <w:t>31</w:t>
            </w:r>
            <w:r>
              <w:rPr>
                <w:rFonts w:hint="eastAsia" w:ascii="宋体" w:hAnsi="宋体" w:cs="宋体"/>
                <w:b/>
                <w:bCs/>
                <w:kern w:val="0"/>
                <w:sz w:val="22"/>
                <w:szCs w:val="22"/>
              </w:rPr>
              <w:t>日</w:t>
            </w:r>
          </w:p>
        </w:tc>
      </w:tr>
      <w:tr>
        <w:tblPrEx>
          <w:tblCellMar>
            <w:top w:w="0" w:type="dxa"/>
            <w:left w:w="108" w:type="dxa"/>
            <w:bottom w:w="0" w:type="dxa"/>
            <w:right w:w="108" w:type="dxa"/>
          </w:tblCellMar>
        </w:tblPrEx>
        <w:trPr>
          <w:trHeight w:val="799"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资产名称</w:t>
            </w:r>
          </w:p>
        </w:tc>
        <w:tc>
          <w:tcPr>
            <w:tcW w:w="1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资产地址</w:t>
            </w:r>
          </w:p>
        </w:tc>
        <w:tc>
          <w:tcPr>
            <w:tcW w:w="15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资产现状</w:t>
            </w:r>
          </w:p>
        </w:tc>
        <w:tc>
          <w:tcPr>
            <w:tcW w:w="12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面积（㎡)</w:t>
            </w:r>
          </w:p>
        </w:tc>
        <w:tc>
          <w:tcPr>
            <w:tcW w:w="14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经营范围</w:t>
            </w:r>
          </w:p>
        </w:tc>
        <w:tc>
          <w:tcPr>
            <w:tcW w:w="187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原值</w:t>
            </w:r>
            <w:r>
              <w:rPr>
                <w:rFonts w:hint="eastAsia" w:ascii="宋体" w:hAnsi="宋体" w:cs="宋体"/>
                <w:b/>
                <w:bCs/>
                <w:kern w:val="0"/>
                <w:sz w:val="24"/>
                <w:lang w:val="en-US" w:eastAsia="zh-CN"/>
              </w:rPr>
              <w:t>(元）</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净值</w:t>
            </w:r>
            <w:r>
              <w:rPr>
                <w:rFonts w:hint="eastAsia" w:ascii="宋体" w:hAnsi="宋体" w:cs="宋体"/>
                <w:b/>
                <w:bCs/>
                <w:kern w:val="0"/>
                <w:sz w:val="24"/>
                <w:lang w:val="en-US" w:eastAsia="zh-CN"/>
              </w:rPr>
              <w:t>(元）</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出租期限（年）</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90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xml:space="preserve">1 </w:t>
            </w:r>
          </w:p>
        </w:tc>
        <w:tc>
          <w:tcPr>
            <w:tcW w:w="22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灵秀大厦</w:t>
            </w:r>
            <w:r>
              <w:rPr>
                <w:rFonts w:hint="eastAsia" w:ascii="宋体" w:hAnsi="宋体" w:eastAsia="宋体" w:cs="宋体"/>
                <w:kern w:val="0"/>
                <w:sz w:val="24"/>
                <w:szCs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明秀西路</w:t>
            </w:r>
            <w:r>
              <w:rPr>
                <w:rFonts w:hint="eastAsia" w:ascii="宋体" w:hAnsi="宋体" w:eastAsia="宋体" w:cs="宋体"/>
                <w:kern w:val="0"/>
                <w:sz w:val="24"/>
                <w:szCs w:val="24"/>
                <w:lang w:val="en-US" w:eastAsia="zh-CN"/>
              </w:rPr>
              <w:t>34号</w:t>
            </w:r>
            <w:r>
              <w:rPr>
                <w:rFonts w:hint="eastAsia" w:ascii="宋体" w:hAnsi="宋体" w:eastAsia="宋体" w:cs="宋体"/>
                <w:kern w:val="0"/>
                <w:sz w:val="24"/>
                <w:szCs w:val="24"/>
              </w:rPr>
              <w:t>　</w:t>
            </w:r>
          </w:p>
        </w:tc>
        <w:tc>
          <w:tcPr>
            <w:tcW w:w="15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现铺</w:t>
            </w:r>
            <w:r>
              <w:rPr>
                <w:rFonts w:hint="eastAsia" w:ascii="宋体" w:hAnsi="宋体" w:eastAsia="宋体" w:cs="宋体"/>
                <w:kern w:val="0"/>
                <w:sz w:val="24"/>
                <w:szCs w:val="24"/>
              </w:rPr>
              <w:t>　</w:t>
            </w:r>
          </w:p>
        </w:tc>
        <w:tc>
          <w:tcPr>
            <w:tcW w:w="12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23718.53　</w:t>
            </w:r>
          </w:p>
        </w:tc>
        <w:tc>
          <w:tcPr>
            <w:tcW w:w="1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经营酒店及酒店相关配套设施</w:t>
            </w:r>
          </w:p>
        </w:tc>
        <w:tc>
          <w:tcPr>
            <w:tcW w:w="1879" w:type="dxa"/>
            <w:tcBorders>
              <w:top w:val="nil"/>
              <w:left w:val="nil"/>
              <w:bottom w:val="single" w:color="auto" w:sz="4" w:space="0"/>
              <w:right w:val="single" w:color="auto" w:sz="4" w:space="0"/>
            </w:tcBorders>
            <w:noWrap w:val="0"/>
            <w:vAlign w:val="center"/>
          </w:tcPr>
          <w:p>
            <w:pPr>
              <w:widowControl/>
              <w:tabs>
                <w:tab w:val="left" w:pos="509"/>
                <w:tab w:val="center" w:pos="1032"/>
              </w:tabs>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65,062,765.56</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62,224,521.92 </w:t>
            </w: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15</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有工程规划许可证、土地证、消防验收意见书</w:t>
            </w:r>
            <w:r>
              <w:rPr>
                <w:rFonts w:hint="eastAsia" w:ascii="宋体" w:hAnsi="宋体" w:eastAsia="宋体" w:cs="宋体"/>
                <w:kern w:val="0"/>
                <w:sz w:val="24"/>
                <w:szCs w:val="24"/>
                <w:lang w:eastAsia="zh-CN"/>
              </w:rPr>
              <w:t>、建设工程规划条件核实证明（全面）、规划核实红线图；不动产权证正在办理中</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2 </w:t>
            </w:r>
          </w:p>
        </w:tc>
        <w:tc>
          <w:tcPr>
            <w:tcW w:w="220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kern w:val="0"/>
                <w:sz w:val="24"/>
                <w:szCs w:val="24"/>
                <w:lang w:val="en-US" w:eastAsia="zh-CN"/>
              </w:rPr>
            </w:pPr>
            <w:r>
              <w:rPr>
                <w:rFonts w:hint="eastAsia" w:ascii="宋体" w:hAnsi="宋体" w:cs="宋体"/>
                <w:kern w:val="0"/>
                <w:sz w:val="24"/>
                <w:lang w:eastAsia="zh-CN"/>
              </w:rPr>
              <w:t>灵秀大厦电梯（</w:t>
            </w:r>
            <w:r>
              <w:rPr>
                <w:rFonts w:hint="eastAsia" w:ascii="宋体" w:hAnsi="宋体" w:cs="宋体"/>
                <w:kern w:val="0"/>
                <w:sz w:val="24"/>
                <w:lang w:val="en-US" w:eastAsia="zh-CN"/>
              </w:rPr>
              <w:t>6台</w:t>
            </w:r>
            <w:r>
              <w:rPr>
                <w:rFonts w:hint="eastAsia" w:ascii="宋体" w:hAnsi="宋体" w:cs="宋体"/>
                <w:kern w:val="0"/>
                <w:sz w:val="24"/>
                <w:lang w:eastAsia="zh-CN"/>
              </w:rPr>
              <w:t>）</w:t>
            </w:r>
          </w:p>
        </w:tc>
        <w:tc>
          <w:tcPr>
            <w:tcW w:w="1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明秀西路</w:t>
            </w:r>
            <w:r>
              <w:rPr>
                <w:rFonts w:hint="eastAsia" w:ascii="宋体" w:hAnsi="宋体" w:eastAsia="宋体" w:cs="宋体"/>
                <w:kern w:val="0"/>
                <w:sz w:val="24"/>
                <w:szCs w:val="24"/>
                <w:lang w:val="en-US" w:eastAsia="zh-CN"/>
              </w:rPr>
              <w:t>34号</w:t>
            </w:r>
            <w:r>
              <w:rPr>
                <w:rFonts w:hint="eastAsia" w:ascii="宋体" w:hAnsi="宋体" w:cs="宋体"/>
                <w:kern w:val="0"/>
                <w:sz w:val="24"/>
              </w:rPr>
              <w:t>　</w:t>
            </w:r>
          </w:p>
        </w:tc>
        <w:tc>
          <w:tcPr>
            <w:tcW w:w="15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rPr>
              <w:t>　</w:t>
            </w:r>
          </w:p>
        </w:tc>
        <w:tc>
          <w:tcPr>
            <w:tcW w:w="12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rPr>
              <w:t>　</w:t>
            </w:r>
          </w:p>
        </w:tc>
        <w:tc>
          <w:tcPr>
            <w:tcW w:w="148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rPr>
              <w:t>　</w:t>
            </w:r>
          </w:p>
        </w:tc>
        <w:tc>
          <w:tcPr>
            <w:tcW w:w="1879" w:type="dxa"/>
            <w:tcBorders>
              <w:top w:val="nil"/>
              <w:left w:val="nil"/>
              <w:bottom w:val="single" w:color="auto" w:sz="4" w:space="0"/>
              <w:right w:val="single" w:color="auto" w:sz="4" w:space="0"/>
            </w:tcBorders>
            <w:noWrap w:val="0"/>
            <w:vAlign w:val="center"/>
          </w:tcPr>
          <w:p>
            <w:pPr>
              <w:widowControl/>
              <w:tabs>
                <w:tab w:val="left" w:pos="386"/>
                <w:tab w:val="center" w:pos="972"/>
              </w:tabs>
              <w:jc w:val="left"/>
              <w:rPr>
                <w:rFonts w:hint="eastAsia" w:ascii="宋体" w:hAnsi="宋体" w:eastAsia="宋体" w:cs="宋体"/>
                <w:kern w:val="0"/>
                <w:sz w:val="24"/>
                <w:szCs w:val="24"/>
              </w:rPr>
            </w:pPr>
            <w:r>
              <w:rPr>
                <w:rFonts w:hint="eastAsia" w:ascii="宋体" w:hAnsi="宋体" w:cs="宋体"/>
                <w:kern w:val="0"/>
                <w:sz w:val="24"/>
                <w:lang w:val="en-US" w:eastAsia="zh-CN"/>
              </w:rPr>
              <w:t>2,159,000.00</w:t>
            </w:r>
            <w:r>
              <w:rPr>
                <w:rFonts w:hint="eastAsia" w:ascii="宋体" w:hAnsi="宋体" w:cs="宋体"/>
                <w:kern w:val="0"/>
                <w:sz w:val="24"/>
              </w:rPr>
              <w:t>　</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lang w:val="en-US" w:eastAsia="zh-CN"/>
              </w:rPr>
              <w:t>1,510,868.20</w:t>
            </w:r>
            <w:r>
              <w:rPr>
                <w:rFonts w:hint="eastAsia" w:ascii="宋体" w:hAnsi="宋体" w:cs="宋体"/>
                <w:kern w:val="0"/>
                <w:sz w:val="24"/>
              </w:rPr>
              <w:t>　</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cs="宋体"/>
                <w:kern w:val="0"/>
                <w:sz w:val="24"/>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trPr>
        <w:tc>
          <w:tcPr>
            <w:tcW w:w="48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22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太阳能集热器</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eastAsia="宋体" w:cs="宋体"/>
                <w:kern w:val="0"/>
                <w:sz w:val="24"/>
                <w:szCs w:val="24"/>
                <w:lang w:eastAsia="zh-CN"/>
              </w:rPr>
              <w:t>明秀西路</w:t>
            </w:r>
            <w:r>
              <w:rPr>
                <w:rFonts w:hint="eastAsia" w:ascii="宋体" w:hAnsi="宋体" w:eastAsia="宋体" w:cs="宋体"/>
                <w:kern w:val="0"/>
                <w:sz w:val="24"/>
                <w:szCs w:val="24"/>
                <w:lang w:val="en-US" w:eastAsia="zh-CN"/>
              </w:rPr>
              <w:t>34号</w:t>
            </w:r>
            <w:r>
              <w:rPr>
                <w:rFonts w:hint="eastAsia" w:ascii="宋体" w:hAnsi="宋体" w:cs="宋体"/>
                <w:kern w:val="0"/>
                <w:sz w:val="24"/>
              </w:rPr>
              <w:t>　</w:t>
            </w:r>
          </w:p>
        </w:tc>
        <w:tc>
          <w:tcPr>
            <w:tcW w:w="15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198,649.83</w:t>
            </w:r>
            <w:r>
              <w:rPr>
                <w:rFonts w:hint="eastAsia" w:ascii="宋体" w:hAnsi="宋体" w:cs="宋体"/>
                <w:kern w:val="0"/>
                <w:sz w:val="24"/>
              </w:rPr>
              <w:t>　</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139,015.10</w:t>
            </w:r>
            <w:r>
              <w:rPr>
                <w:rFonts w:hint="eastAsia" w:ascii="宋体" w:hAnsi="宋体" w:cs="宋体"/>
                <w:kern w:val="0"/>
                <w:sz w:val="24"/>
              </w:rPr>
              <w:t>　</w:t>
            </w: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eastAsia="宋体" w:cs="宋体"/>
                <w:kern w:val="0"/>
                <w:sz w:val="24"/>
                <w:szCs w:val="24"/>
                <w:lang w:val="en-US" w:eastAsia="zh-CN"/>
              </w:rPr>
              <w:t>15</w:t>
            </w:r>
            <w:r>
              <w:rPr>
                <w:rFonts w:hint="eastAsia" w:ascii="宋体" w:hAnsi="宋体" w:cs="宋体"/>
                <w:kern w:val="0"/>
                <w:sz w:val="24"/>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22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bl>
    <w:p>
      <w:pPr>
        <w:rPr>
          <w:rFonts w:ascii="仿宋_GB2312" w:eastAsia="仿宋_GB2312"/>
          <w:sz w:val="32"/>
          <w:szCs w:val="32"/>
        </w:rPr>
        <w:sectPr>
          <w:pgSz w:w="16838" w:h="11906" w:orient="landscape"/>
          <w:pgMar w:top="1361" w:right="1304" w:bottom="1418" w:left="1191"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仿宋_GB2312" w:eastAsia="仿宋_GB2312"/>
          <w:sz w:val="32"/>
          <w:szCs w:val="32"/>
        </w:rPr>
      </w:pPr>
      <w:r>
        <w:rPr>
          <w:rFonts w:hint="eastAsia" w:ascii="方正小标宋简体" w:eastAsia="方正小标宋简体"/>
          <w:sz w:val="44"/>
          <w:szCs w:val="44"/>
        </w:rPr>
        <w:t>竞聘人报价及基本情况表（格式）</w:t>
      </w:r>
    </w:p>
    <w:p>
      <w:pPr>
        <w:rPr>
          <w:rFonts w:hint="eastAsia" w:ascii="仿宋_GB2312" w:eastAsia="仿宋_GB2312"/>
          <w:sz w:val="32"/>
          <w:szCs w:val="32"/>
        </w:rPr>
      </w:pPr>
      <w:r>
        <w:rPr>
          <w:rFonts w:hint="eastAsia" w:ascii="仿宋_GB2312" w:eastAsia="仿宋_GB2312"/>
          <w:sz w:val="32"/>
          <w:szCs w:val="32"/>
        </w:rPr>
        <w:t>竞聘人名称（加盖公章）：</w:t>
      </w:r>
    </w:p>
    <w:p>
      <w:pPr>
        <w:rPr>
          <w:rFonts w:hint="eastAsia" w:ascii="仿宋_GB2312" w:eastAsia="仿宋_GB2312"/>
          <w:sz w:val="32"/>
          <w:szCs w:val="32"/>
        </w:rPr>
      </w:pPr>
      <w:r>
        <w:rPr>
          <w:rFonts w:hint="eastAsia" w:ascii="仿宋_GB2312" w:eastAsia="仿宋_GB2312"/>
          <w:sz w:val="32"/>
          <w:szCs w:val="32"/>
        </w:rPr>
        <w:t>联系人：                  联系方式：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被评估项目名称：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评估报价：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参加评估工作人数：    人，其中注册资产评估师：   人。</w:t>
            </w:r>
          </w:p>
          <w:p>
            <w:pPr>
              <w:rPr>
                <w:rFonts w:hint="eastAsia" w:ascii="仿宋_GB2312" w:eastAsia="仿宋_GB2312"/>
                <w:sz w:val="32"/>
                <w:szCs w:val="32"/>
              </w:rPr>
            </w:pPr>
            <w:r>
              <w:rPr>
                <w:rFonts w:hint="eastAsia" w:ascii="仿宋_GB2312" w:eastAsia="仿宋_GB2312"/>
                <w:sz w:val="32"/>
                <w:szCs w:val="32"/>
              </w:rPr>
              <w:t>预计评估工作时间：    天， 其中进点评估时间：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工作经验统计：</w:t>
            </w:r>
          </w:p>
          <w:p>
            <w:pPr>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u w:val="single"/>
              </w:rPr>
              <w:t xml:space="preserve">  </w:t>
            </w:r>
            <w:r>
              <w:rPr>
                <w:rFonts w:hint="eastAsia" w:ascii="仿宋_GB2312" w:eastAsia="仿宋_GB2312"/>
                <w:sz w:val="32"/>
                <w:szCs w:val="32"/>
              </w:rPr>
              <w:t>年：    个评估服务项目    20</w:t>
            </w:r>
            <w:r>
              <w:rPr>
                <w:rFonts w:hint="eastAsia" w:ascii="仿宋_GB2312" w:eastAsia="仿宋_GB2312"/>
                <w:sz w:val="32"/>
                <w:szCs w:val="32"/>
                <w:u w:val="single"/>
              </w:rPr>
              <w:t xml:space="preserve">  </w:t>
            </w:r>
            <w:r>
              <w:rPr>
                <w:rFonts w:hint="eastAsia" w:ascii="仿宋_GB2312" w:eastAsia="仿宋_GB2312"/>
                <w:sz w:val="32"/>
                <w:szCs w:val="32"/>
              </w:rPr>
              <w:t>年：    个评估服务项目</w:t>
            </w:r>
          </w:p>
          <w:p>
            <w:pPr>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u w:val="single"/>
              </w:rPr>
              <w:t xml:space="preserve">  </w:t>
            </w:r>
            <w:r>
              <w:rPr>
                <w:rFonts w:hint="eastAsia" w:ascii="仿宋_GB2312" w:eastAsia="仿宋_GB2312"/>
                <w:sz w:val="32"/>
                <w:szCs w:val="32"/>
              </w:rPr>
              <w:t>年：    个评估服务项目    20</w:t>
            </w:r>
            <w:r>
              <w:rPr>
                <w:rFonts w:hint="eastAsia" w:ascii="仿宋_GB2312" w:eastAsia="仿宋_GB2312"/>
                <w:sz w:val="32"/>
                <w:szCs w:val="32"/>
                <w:u w:val="single"/>
              </w:rPr>
              <w:t xml:space="preserve">  </w:t>
            </w:r>
            <w:r>
              <w:rPr>
                <w:rFonts w:hint="eastAsia" w:ascii="仿宋_GB2312" w:eastAsia="仿宋_GB2312"/>
                <w:sz w:val="32"/>
                <w:szCs w:val="32"/>
              </w:rPr>
              <w:t>年：    个评估服务项目</w:t>
            </w:r>
          </w:p>
          <w:p>
            <w:pPr>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u w:val="single"/>
              </w:rPr>
              <w:t xml:space="preserve">  </w:t>
            </w:r>
            <w:r>
              <w:rPr>
                <w:rFonts w:hint="eastAsia" w:ascii="仿宋_GB2312" w:eastAsia="仿宋_GB2312"/>
                <w:sz w:val="32"/>
                <w:szCs w:val="32"/>
              </w:rPr>
              <w:t>年：    个评估服务项目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资质水平：</w:t>
            </w:r>
          </w:p>
          <w:p>
            <w:pPr>
              <w:rPr>
                <w:rFonts w:hint="eastAsia" w:ascii="仿宋_GB2312" w:eastAsia="仿宋_GB2312"/>
                <w:sz w:val="32"/>
                <w:szCs w:val="32"/>
              </w:rPr>
            </w:pPr>
            <w:r>
              <w:rPr>
                <w:rFonts w:hint="eastAsia" w:ascii="仿宋_GB2312" w:eastAsia="仿宋_GB2312"/>
                <w:sz w:val="32"/>
                <w:szCs w:val="32"/>
              </w:rPr>
              <w:t>1、注册</w:t>
            </w:r>
            <w:r>
              <w:rPr>
                <w:rFonts w:hint="eastAsia" w:ascii="仿宋_GB2312" w:eastAsia="仿宋_GB2312"/>
                <w:sz w:val="32"/>
                <w:szCs w:val="32"/>
                <w:u w:val="single"/>
              </w:rPr>
              <w:t xml:space="preserve">      </w:t>
            </w:r>
            <w:r>
              <w:rPr>
                <w:rFonts w:hint="eastAsia" w:ascii="仿宋_GB2312" w:eastAsia="仿宋_GB2312"/>
                <w:sz w:val="32"/>
                <w:szCs w:val="32"/>
              </w:rPr>
              <w:t>总人数：    人</w:t>
            </w:r>
          </w:p>
          <w:p>
            <w:pPr>
              <w:rPr>
                <w:rFonts w:hint="eastAsia" w:ascii="仿宋_GB2312" w:eastAsia="仿宋_GB2312"/>
                <w:sz w:val="32"/>
                <w:szCs w:val="32"/>
              </w:rPr>
            </w:pPr>
            <w:r>
              <w:rPr>
                <w:rFonts w:hint="eastAsia" w:ascii="仿宋_GB2312" w:eastAsia="仿宋_GB2312"/>
                <w:sz w:val="32"/>
                <w:szCs w:val="32"/>
              </w:rPr>
              <w:t>2、企业信誉及荣誉：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343" w:type="dxa"/>
            <w:noWrap w:val="0"/>
            <w:vAlign w:val="top"/>
          </w:tcPr>
          <w:p>
            <w:pPr>
              <w:rPr>
                <w:rFonts w:hint="eastAsia" w:ascii="仿宋_GB2312" w:eastAsia="仿宋_GB2312"/>
                <w:sz w:val="32"/>
                <w:szCs w:val="32"/>
              </w:rPr>
            </w:pPr>
            <w:r>
              <w:rPr>
                <w:rFonts w:hint="eastAsia" w:ascii="仿宋_GB2312" w:eastAsia="仿宋_GB2312"/>
                <w:sz w:val="32"/>
                <w:szCs w:val="32"/>
              </w:rPr>
              <w:t>竞聘人认为需补充的其他信息</w:t>
            </w:r>
          </w:p>
        </w:tc>
      </w:tr>
    </w:tbl>
    <w:p>
      <w:pPr>
        <w:spacing w:line="460" w:lineRule="exact"/>
        <w:ind w:right="640"/>
        <w:jc w:val="left"/>
        <w:rPr>
          <w:rFonts w:hint="eastAsia" w:ascii="黑体" w:hAnsi="黑体" w:eastAsia="黑体" w:cs="黑体"/>
          <w:sz w:val="32"/>
          <w:szCs w:val="32"/>
        </w:rPr>
      </w:pPr>
    </w:p>
    <w:p>
      <w:pPr>
        <w:spacing w:line="460" w:lineRule="exact"/>
        <w:ind w:right="640"/>
        <w:jc w:val="left"/>
        <w:rPr>
          <w:rFonts w:hint="eastAsia" w:ascii="宋体" w:hAnsi="宋体" w:cs="宋体"/>
          <w:sz w:val="44"/>
          <w:szCs w:val="44"/>
        </w:rPr>
      </w:pPr>
      <w:r>
        <w:rPr>
          <w:rFonts w:hint="eastAsia" w:ascii="黑体" w:hAnsi="黑体" w:eastAsia="黑体" w:cs="黑体"/>
          <w:sz w:val="32"/>
          <w:szCs w:val="32"/>
        </w:rPr>
        <w:t>附件(3)</w:t>
      </w:r>
    </w:p>
    <w:p>
      <w:pPr>
        <w:spacing w:line="460" w:lineRule="exact"/>
        <w:jc w:val="center"/>
        <w:rPr>
          <w:rFonts w:hint="eastAsia" w:ascii="宋体" w:hAnsi="宋体" w:cs="宋体"/>
          <w:b/>
          <w:sz w:val="44"/>
          <w:szCs w:val="44"/>
          <w:lang w:val="zh-CN"/>
        </w:rPr>
      </w:pPr>
      <w:r>
        <w:rPr>
          <w:rFonts w:hint="eastAsia" w:ascii="宋体" w:hAnsi="宋体" w:cs="宋体"/>
          <w:b/>
          <w:sz w:val="44"/>
          <w:szCs w:val="44"/>
          <w:lang w:val="zh-CN"/>
        </w:rPr>
        <w:t>南宁建宁水务投资集团有限责任公司</w:t>
      </w:r>
    </w:p>
    <w:p>
      <w:pPr>
        <w:spacing w:line="460" w:lineRule="exact"/>
        <w:jc w:val="center"/>
        <w:rPr>
          <w:rFonts w:hint="eastAsia" w:ascii="宋体" w:hAnsi="宋体" w:cs="宋体"/>
          <w:b/>
          <w:sz w:val="44"/>
          <w:szCs w:val="44"/>
        </w:rPr>
      </w:pPr>
      <w:r>
        <w:rPr>
          <w:rFonts w:hint="eastAsia" w:ascii="宋体" w:hAnsi="宋体" w:cs="宋体"/>
          <w:b/>
          <w:sz w:val="44"/>
          <w:szCs w:val="44"/>
          <w:lang w:val="zh-CN"/>
        </w:rPr>
        <w:t>关于</w:t>
      </w:r>
      <w:r>
        <w:rPr>
          <w:rFonts w:hint="eastAsia" w:ascii="宋体" w:hAnsi="宋体"/>
          <w:b/>
          <w:sz w:val="44"/>
          <w:szCs w:val="44"/>
          <w:u w:val="single"/>
          <w:lang w:val="en-US" w:eastAsia="zh-CN"/>
        </w:rPr>
        <w:t>灵秀大厦及其相关附属设施年租金价格评估</w:t>
      </w:r>
      <w:r>
        <w:rPr>
          <w:rFonts w:hint="eastAsia" w:ascii="宋体" w:hAnsi="宋体" w:cs="宋体"/>
          <w:b/>
          <w:sz w:val="44"/>
          <w:szCs w:val="44"/>
        </w:rPr>
        <w:t>项目评审办法</w:t>
      </w:r>
    </w:p>
    <w:p>
      <w:pPr>
        <w:keepNext w:val="0"/>
        <w:keepLines w:val="0"/>
        <w:pageBreakBefore w:val="0"/>
        <w:widowControl w:val="0"/>
        <w:tabs>
          <w:tab w:val="left" w:pos="1800"/>
        </w:tabs>
        <w:kinsoku/>
        <w:wordWrap/>
        <w:overflowPunct/>
        <w:topLinePunct w:val="0"/>
        <w:autoSpaceDE/>
        <w:autoSpaceDN/>
        <w:bidi w:val="0"/>
        <w:adjustRightInd/>
        <w:snapToGrid/>
        <w:spacing w:line="440" w:lineRule="exact"/>
        <w:ind w:left="644"/>
        <w:textAlignment w:val="auto"/>
        <w:rPr>
          <w:rFonts w:hint="eastAsia" w:ascii="仿宋_GB2312" w:hAnsi="仿宋_GB2312" w:eastAsia="仿宋_GB2312"/>
          <w:b/>
          <w:sz w:val="32"/>
          <w:szCs w:val="32"/>
          <w:lang w:val="zh-CN"/>
        </w:rPr>
      </w:pPr>
      <w:r>
        <w:rPr>
          <w:rFonts w:hint="eastAsia" w:ascii="仿宋_GB2312" w:hAnsi="仿宋_GB2312" w:eastAsia="仿宋_GB2312"/>
          <w:b/>
          <w:sz w:val="32"/>
          <w:szCs w:val="32"/>
          <w:lang w:val="zh-CN"/>
        </w:rPr>
        <w:t>一、评分细则</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rPr>
        <w:t>1、</w:t>
      </w:r>
      <w:r>
        <w:rPr>
          <w:rFonts w:hint="eastAsia" w:ascii="仿宋_GB2312" w:hAnsi="仿宋_GB2312" w:eastAsia="仿宋_GB2312"/>
          <w:sz w:val="32"/>
          <w:szCs w:val="32"/>
          <w:lang w:val="zh-CN"/>
        </w:rPr>
        <w:t>评审采用评分制，满分100分。总分以报价分数与现场评分分数加和计算。总得分最高的竞聘人中选，有2家以上（含</w:t>
      </w:r>
      <w:r>
        <w:rPr>
          <w:rFonts w:hint="eastAsia" w:ascii="仿宋_GB2312" w:hAnsi="仿宋_GB2312" w:eastAsia="仿宋_GB2312"/>
          <w:sz w:val="32"/>
          <w:szCs w:val="32"/>
        </w:rPr>
        <w:t>2家）</w:t>
      </w:r>
      <w:r>
        <w:rPr>
          <w:rFonts w:hint="eastAsia" w:ascii="仿宋_GB2312" w:hAnsi="仿宋_GB2312" w:eastAsia="仿宋_GB2312"/>
          <w:sz w:val="32"/>
          <w:szCs w:val="32"/>
          <w:lang w:val="zh-CN"/>
        </w:rPr>
        <w:t>竞聘人得到相同最高得分的，采取公开抽签方式确定中选的竞聘人。</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rPr>
        <w:t>2、</w:t>
      </w:r>
      <w:r>
        <w:rPr>
          <w:rFonts w:hint="eastAsia" w:ascii="仿宋_GB2312" w:hAnsi="仿宋_GB2312" w:eastAsia="仿宋_GB2312"/>
          <w:sz w:val="32"/>
          <w:szCs w:val="32"/>
          <w:lang w:val="zh-CN"/>
        </w:rPr>
        <w:t>报价分数占总分的40%，根据基础金额计算报价分数。基础金额的分值为30分。基础金额以去掉最高报价和最低报价金额的平均价格为基础金额。报价分数（保留两位小数）=30×[1+（基础金额-报价金额）/基础金额]，所计算出的报价分数不能超过最高分40分，同时不能低于最低分10分。</w:t>
      </w:r>
    </w:p>
    <w:p>
      <w:pPr>
        <w:keepNext w:val="0"/>
        <w:keepLines w:val="0"/>
        <w:pageBreakBefore w:val="0"/>
        <w:widowControl w:val="0"/>
        <w:kinsoku/>
        <w:wordWrap/>
        <w:overflowPunct/>
        <w:topLinePunct w:val="0"/>
        <w:autoSpaceDE/>
        <w:autoSpaceDN/>
        <w:bidi w:val="0"/>
        <w:adjustRightInd/>
        <w:snapToGrid/>
        <w:spacing w:line="440" w:lineRule="exact"/>
        <w:ind w:firstLine="672" w:firstLineChars="210"/>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若入围的竞聘人不足</w:t>
      </w:r>
      <w:r>
        <w:rPr>
          <w:rFonts w:hint="eastAsia" w:ascii="仿宋_GB2312" w:hAnsi="仿宋_GB2312" w:eastAsia="仿宋_GB2312"/>
          <w:sz w:val="32"/>
          <w:szCs w:val="32"/>
        </w:rPr>
        <w:t>5</w:t>
      </w:r>
      <w:r>
        <w:rPr>
          <w:rFonts w:hint="eastAsia" w:ascii="仿宋_GB2312" w:hAnsi="仿宋_GB2312" w:eastAsia="仿宋_GB2312"/>
          <w:sz w:val="32"/>
          <w:szCs w:val="32"/>
          <w:lang w:val="zh-CN"/>
        </w:rPr>
        <w:t>家时，基础金额直接以所有报价的平均价格计。</w:t>
      </w:r>
    </w:p>
    <w:p>
      <w:pPr>
        <w:keepNext w:val="0"/>
        <w:keepLines w:val="0"/>
        <w:pageBreakBefore w:val="0"/>
        <w:widowControl w:val="0"/>
        <w:kinsoku/>
        <w:wordWrap/>
        <w:overflowPunct/>
        <w:topLinePunct w:val="0"/>
        <w:autoSpaceDE/>
        <w:autoSpaceDN/>
        <w:bidi w:val="0"/>
        <w:adjustRightInd/>
        <w:snapToGrid/>
        <w:spacing w:line="440" w:lineRule="exact"/>
        <w:ind w:firstLine="672" w:firstLineChars="210"/>
        <w:textAlignment w:val="auto"/>
        <w:rPr>
          <w:rFonts w:hint="eastAsia" w:ascii="仿宋_GB2312" w:hAnsi="仿宋_GB2312" w:eastAsia="仿宋_GB2312"/>
          <w:color w:val="FF0000"/>
          <w:sz w:val="32"/>
          <w:szCs w:val="32"/>
          <w:u w:val="single"/>
          <w:lang w:val="zh-CN"/>
        </w:rPr>
      </w:pPr>
      <w:r>
        <w:rPr>
          <w:rFonts w:hint="eastAsia" w:ascii="仿宋_GB2312" w:hAnsi="仿宋_GB2312" w:eastAsia="仿宋_GB2312"/>
          <w:color w:val="FF0000"/>
          <w:sz w:val="32"/>
          <w:szCs w:val="32"/>
          <w:u w:val="single"/>
          <w:lang w:val="zh-CN"/>
        </w:rPr>
        <w:t>评估报价以总报价金额进行评分，同时竞聘人须标明每个评估项目的评估价格。竞聘人实际评估项目减少的，所支付的评估费用按实际评估的项目计算。</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537" w:firstLineChars="168"/>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rPr>
        <w:t>3、</w:t>
      </w:r>
      <w:r>
        <w:rPr>
          <w:rFonts w:hint="eastAsia" w:ascii="仿宋_GB2312" w:hAnsi="仿宋_GB2312" w:eastAsia="仿宋_GB2312"/>
          <w:sz w:val="32"/>
          <w:szCs w:val="32"/>
          <w:lang w:val="zh-CN"/>
        </w:rPr>
        <w:t>现场评分分数占总分的60%，最高分为60分。现场评分分为实施方案、相关工作经验和资质水平三部分，分别占现场评分总分的40%、30%和30%。即实施方案最高得分24分，相关工作经验最高得分18分，资质水平最高得分18分。具体分值情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_GB2312" w:hAnsi="仿宋_GB2312" w:eastAsia="仿宋_GB2312"/>
          <w:b/>
          <w:sz w:val="32"/>
          <w:szCs w:val="32"/>
          <w:lang w:val="zh-CN"/>
        </w:rPr>
      </w:pPr>
      <w:r>
        <w:rPr>
          <w:rFonts w:hint="eastAsia" w:ascii="仿宋_GB2312" w:hAnsi="仿宋_GB2312" w:eastAsia="仿宋_GB2312"/>
          <w:b/>
          <w:sz w:val="32"/>
          <w:szCs w:val="32"/>
          <w:lang w:val="zh-CN"/>
        </w:rPr>
        <w:t>实施方案分（满分24分）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服务方案完整、具体，架构清晰（19</w:t>
      </w:r>
      <w:r>
        <w:rPr>
          <w:rFonts w:hint="eastAsia" w:eastAsia="仿宋_GB2312"/>
          <w:sz w:val="32"/>
          <w:szCs w:val="32"/>
          <w:lang w:val="zh-CN"/>
        </w:rPr>
        <w:t>~</w:t>
      </w:r>
      <w:r>
        <w:rPr>
          <w:rFonts w:hint="eastAsia" w:ascii="仿宋_GB2312" w:hAnsi="仿宋_GB2312" w:eastAsia="仿宋_GB2312"/>
          <w:sz w:val="32"/>
          <w:szCs w:val="32"/>
          <w:lang w:val="zh-CN"/>
        </w:rPr>
        <w:t>24分）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服务方案完整、具体，构架不够清晰（13</w:t>
      </w:r>
      <w:r>
        <w:rPr>
          <w:rFonts w:hint="eastAsia" w:eastAsia="仿宋_GB2312"/>
          <w:sz w:val="32"/>
          <w:szCs w:val="32"/>
          <w:lang w:val="zh-CN"/>
        </w:rPr>
        <w:t>~</w:t>
      </w:r>
      <w:r>
        <w:rPr>
          <w:rFonts w:hint="eastAsia" w:ascii="仿宋_GB2312" w:hAnsi="仿宋_GB2312" w:eastAsia="仿宋_GB2312"/>
          <w:sz w:val="32"/>
          <w:szCs w:val="32"/>
          <w:lang w:val="zh-CN"/>
        </w:rPr>
        <w:t>18分）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服务方案不够完整、具体，构架不够清晰（7</w:t>
      </w:r>
      <w:r>
        <w:rPr>
          <w:rFonts w:hint="eastAsia" w:eastAsia="仿宋_GB2312"/>
          <w:sz w:val="32"/>
          <w:szCs w:val="32"/>
          <w:lang w:val="zh-CN"/>
        </w:rPr>
        <w:t>~</w:t>
      </w:r>
      <w:r>
        <w:rPr>
          <w:rFonts w:hint="eastAsia" w:ascii="仿宋_GB2312" w:hAnsi="仿宋_GB2312" w:eastAsia="仿宋_GB2312"/>
          <w:sz w:val="32"/>
          <w:szCs w:val="32"/>
          <w:lang w:val="zh-CN"/>
        </w:rPr>
        <w:t>12分）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服务方案不完整、具体，构架不清晰（0</w:t>
      </w:r>
      <w:r>
        <w:rPr>
          <w:rFonts w:hint="eastAsia" w:eastAsia="仿宋_GB2312"/>
          <w:sz w:val="32"/>
          <w:szCs w:val="32"/>
          <w:lang w:val="zh-CN"/>
        </w:rPr>
        <w:t>~</w:t>
      </w:r>
      <w:r>
        <w:rPr>
          <w:rFonts w:hint="eastAsia" w:ascii="仿宋_GB2312" w:hAnsi="仿宋_GB2312" w:eastAsia="仿宋_GB2312"/>
          <w:sz w:val="32"/>
          <w:szCs w:val="32"/>
          <w:lang w:val="zh-CN"/>
        </w:rPr>
        <w:t>6分）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_GB2312" w:hAnsi="仿宋_GB2312" w:eastAsia="仿宋_GB2312"/>
          <w:b/>
          <w:sz w:val="32"/>
          <w:szCs w:val="32"/>
          <w:lang w:val="zh-CN"/>
        </w:rPr>
      </w:pPr>
      <w:r>
        <w:rPr>
          <w:rFonts w:hint="eastAsia" w:ascii="仿宋_GB2312" w:hAnsi="仿宋_GB2312" w:eastAsia="仿宋_GB2312"/>
          <w:b/>
          <w:sz w:val="32"/>
          <w:szCs w:val="32"/>
          <w:lang w:val="zh-CN"/>
        </w:rPr>
        <w:t>相关工作经验分（满分18分）</w:t>
      </w:r>
    </w:p>
    <w:p>
      <w:pPr>
        <w:keepNext w:val="0"/>
        <w:keepLines w:val="0"/>
        <w:pageBreakBefore w:val="0"/>
        <w:widowControl w:val="0"/>
        <w:kinsoku/>
        <w:wordWrap/>
        <w:overflowPunct/>
        <w:topLinePunct w:val="0"/>
        <w:autoSpaceDE/>
        <w:autoSpaceDN/>
        <w:bidi w:val="0"/>
        <w:adjustRightInd/>
        <w:snapToGrid/>
        <w:spacing w:line="440" w:lineRule="exact"/>
        <w:ind w:firstLine="672" w:firstLineChars="210"/>
        <w:textAlignment w:val="auto"/>
        <w:rPr>
          <w:rFonts w:hint="eastAsia" w:ascii="仿宋_GB2312" w:hAnsi="仿宋_GB2312" w:eastAsia="仿宋_GB2312"/>
          <w:color w:val="FF0000"/>
          <w:sz w:val="32"/>
          <w:szCs w:val="32"/>
          <w:lang w:val="zh-CN"/>
        </w:rPr>
      </w:pPr>
      <w:r>
        <w:rPr>
          <w:rFonts w:hint="eastAsia" w:ascii="仿宋_GB2312" w:hAnsi="仿宋_GB2312" w:eastAsia="仿宋_GB2312"/>
          <w:color w:val="FF0000"/>
          <w:sz w:val="32"/>
          <w:szCs w:val="32"/>
          <w:lang w:val="zh-CN"/>
        </w:rPr>
        <w:t>近</w:t>
      </w:r>
      <w:r>
        <w:rPr>
          <w:rFonts w:hint="eastAsia" w:ascii="仿宋_GB2312" w:hAnsi="仿宋_GB2312" w:eastAsia="仿宋_GB2312"/>
          <w:color w:val="FF0000"/>
          <w:sz w:val="32"/>
          <w:szCs w:val="32"/>
          <w:u w:val="single"/>
          <w:lang w:val="en-US" w:eastAsia="zh-CN"/>
        </w:rPr>
        <w:t>5</w:t>
      </w:r>
      <w:r>
        <w:rPr>
          <w:rFonts w:hint="eastAsia" w:ascii="仿宋_GB2312" w:hAnsi="仿宋_GB2312" w:eastAsia="仿宋_GB2312"/>
          <w:color w:val="FF0000"/>
          <w:sz w:val="32"/>
          <w:szCs w:val="32"/>
          <w:lang w:val="zh-CN"/>
        </w:rPr>
        <w:t>年（20</w:t>
      </w:r>
      <w:r>
        <w:rPr>
          <w:rFonts w:hint="eastAsia" w:ascii="仿宋_GB2312" w:hAnsi="仿宋_GB2312" w:eastAsia="仿宋_GB2312"/>
          <w:color w:val="FF0000"/>
          <w:sz w:val="32"/>
          <w:szCs w:val="32"/>
          <w:u w:val="single"/>
          <w:lang w:val="en-US" w:eastAsia="zh-CN"/>
        </w:rPr>
        <w:t>15</w:t>
      </w:r>
      <w:r>
        <w:rPr>
          <w:rFonts w:hint="eastAsia" w:ascii="仿宋_GB2312" w:hAnsi="仿宋_GB2312" w:eastAsia="仿宋_GB2312"/>
          <w:color w:val="FF0000"/>
          <w:sz w:val="32"/>
          <w:szCs w:val="32"/>
          <w:u w:val="single"/>
        </w:rPr>
        <w:t xml:space="preserve"> </w:t>
      </w:r>
      <w:r>
        <w:rPr>
          <w:rFonts w:hint="eastAsia" w:ascii="仿宋_GB2312" w:hAnsi="仿宋_GB2312" w:eastAsia="仿宋_GB2312"/>
          <w:color w:val="FF0000"/>
          <w:sz w:val="32"/>
          <w:szCs w:val="32"/>
          <w:lang w:val="zh-CN"/>
        </w:rPr>
        <w:t>-20</w:t>
      </w:r>
      <w:r>
        <w:rPr>
          <w:rFonts w:hint="eastAsia" w:ascii="仿宋_GB2312" w:hAnsi="仿宋_GB2312" w:eastAsia="仿宋_GB2312"/>
          <w:color w:val="FF0000"/>
          <w:sz w:val="32"/>
          <w:szCs w:val="32"/>
          <w:u w:val="single"/>
          <w:lang w:val="en-US" w:eastAsia="zh-CN"/>
        </w:rPr>
        <w:t>19</w:t>
      </w:r>
      <w:r>
        <w:rPr>
          <w:rFonts w:hint="eastAsia" w:ascii="仿宋_GB2312" w:hAnsi="仿宋_GB2312" w:eastAsia="仿宋_GB2312"/>
          <w:color w:val="FF0000"/>
          <w:sz w:val="32"/>
          <w:szCs w:val="32"/>
          <w:lang w:val="zh-CN"/>
        </w:rPr>
        <w:t>年）不足5个类似项目合同的得5分，每增加一个项目加1分，最高不超过18分。竞聘人需提供相关类似项目合同复印件。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_GB2312" w:hAnsi="仿宋_GB2312" w:eastAsia="仿宋_GB2312"/>
          <w:b/>
          <w:sz w:val="32"/>
          <w:szCs w:val="32"/>
          <w:lang w:val="zh-CN"/>
        </w:rPr>
      </w:pPr>
      <w:r>
        <w:rPr>
          <w:rFonts w:hint="eastAsia" w:ascii="仿宋_GB2312" w:hAnsi="仿宋_GB2312" w:eastAsia="仿宋_GB2312"/>
          <w:b/>
          <w:sz w:val="32"/>
          <w:szCs w:val="32"/>
          <w:lang w:val="zh-CN"/>
        </w:rPr>
        <w:t>资质水平分（满分18分）</w:t>
      </w:r>
    </w:p>
    <w:p>
      <w:pPr>
        <w:keepNext w:val="0"/>
        <w:keepLines w:val="0"/>
        <w:pageBreakBefore w:val="0"/>
        <w:widowControl w:val="0"/>
        <w:numPr>
          <w:ilvl w:val="0"/>
          <w:numId w:val="3"/>
        </w:numPr>
        <w:tabs>
          <w:tab w:val="left" w:pos="1260"/>
          <w:tab w:val="clear" w:pos="1152"/>
        </w:tabs>
        <w:kinsoku/>
        <w:wordWrap/>
        <w:overflowPunct/>
        <w:topLinePunct w:val="0"/>
        <w:autoSpaceDE/>
        <w:autoSpaceDN/>
        <w:bidi w:val="0"/>
        <w:adjustRightInd/>
        <w:snapToGrid/>
        <w:spacing w:line="440" w:lineRule="exact"/>
        <w:ind w:left="0" w:firstLine="672"/>
        <w:textAlignment w:val="auto"/>
        <w:rPr>
          <w:rFonts w:hint="eastAsia" w:ascii="仿宋_GB2312" w:hAnsi="仿宋_GB2312" w:eastAsia="仿宋_GB2312"/>
          <w:color w:val="FF0000"/>
          <w:sz w:val="32"/>
          <w:szCs w:val="32"/>
          <w:lang w:val="zh-CN"/>
        </w:rPr>
      </w:pPr>
      <w:r>
        <w:rPr>
          <w:rFonts w:hint="eastAsia" w:ascii="仿宋_GB2312" w:hAnsi="仿宋_GB2312" w:eastAsia="仿宋_GB2312"/>
          <w:color w:val="FF0000"/>
          <w:sz w:val="32"/>
          <w:szCs w:val="32"/>
          <w:lang w:val="zh-CN"/>
        </w:rPr>
        <w:t>注册资产评估师总人数为10人的，得6分，每增加一人加1分，最高不超过10分。不足10人的不得分（需提供相关证明文件的复印件并加盖公章）。</w:t>
      </w:r>
    </w:p>
    <w:p>
      <w:pPr>
        <w:keepNext w:val="0"/>
        <w:keepLines w:val="0"/>
        <w:pageBreakBefore w:val="0"/>
        <w:widowControl w:val="0"/>
        <w:numPr>
          <w:ilvl w:val="0"/>
          <w:numId w:val="3"/>
        </w:numPr>
        <w:tabs>
          <w:tab w:val="left" w:pos="1260"/>
          <w:tab w:val="clear" w:pos="1152"/>
        </w:tabs>
        <w:kinsoku/>
        <w:wordWrap/>
        <w:overflowPunct/>
        <w:topLinePunct w:val="0"/>
        <w:autoSpaceDE/>
        <w:autoSpaceDN/>
        <w:bidi w:val="0"/>
        <w:adjustRightInd/>
        <w:snapToGrid/>
        <w:spacing w:line="440" w:lineRule="exact"/>
        <w:ind w:left="0" w:firstLine="672"/>
        <w:textAlignment w:val="auto"/>
        <w:rPr>
          <w:rFonts w:hint="eastAsia" w:ascii="仿宋_GB2312" w:hAnsi="仿宋_GB2312" w:eastAsia="仿宋_GB2312"/>
          <w:color w:val="FF0000"/>
          <w:sz w:val="32"/>
          <w:szCs w:val="32"/>
          <w:lang w:val="zh-CN"/>
        </w:rPr>
      </w:pPr>
      <w:r>
        <w:rPr>
          <w:rFonts w:hint="eastAsia" w:ascii="仿宋_GB2312" w:hAnsi="仿宋_GB2312" w:eastAsia="仿宋_GB2312" w:cs="仿宋_GB2312"/>
          <w:sz w:val="32"/>
          <w:szCs w:val="32"/>
        </w:rPr>
        <w:t>评估机构资质水平文件（</w:t>
      </w:r>
      <w:r>
        <w:rPr>
          <w:rFonts w:hint="eastAsia" w:ascii="仿宋_GB2312" w:hAnsi="仿宋_GB2312" w:eastAsia="仿宋_GB2312"/>
          <w:color w:val="FF0000"/>
          <w:sz w:val="32"/>
          <w:szCs w:val="32"/>
          <w:lang w:val="zh-CN"/>
        </w:rPr>
        <w:t>提供相关证明文件的复印件并加盖公章</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tabs>
          <w:tab w:val="left" w:pos="1260"/>
          <w:tab w:val="clear" w:pos="1152"/>
        </w:tabs>
        <w:kinsoku/>
        <w:wordWrap/>
        <w:overflowPunct/>
        <w:topLinePunct w:val="0"/>
        <w:autoSpaceDE/>
        <w:autoSpaceDN/>
        <w:bidi w:val="0"/>
        <w:adjustRightInd/>
        <w:snapToGrid/>
        <w:spacing w:line="440" w:lineRule="exact"/>
        <w:ind w:left="0" w:firstLine="672"/>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企业信誉及荣誉：近</w:t>
      </w:r>
      <w:r>
        <w:rPr>
          <w:rFonts w:hint="eastAsia" w:ascii="仿宋_GB2312" w:hAnsi="仿宋_GB2312" w:eastAsia="仿宋_GB2312"/>
          <w:sz w:val="32"/>
          <w:szCs w:val="32"/>
          <w:u w:val="single"/>
          <w:lang w:val="en-US" w:eastAsia="zh-CN"/>
        </w:rPr>
        <w:t>5</w:t>
      </w:r>
      <w:r>
        <w:rPr>
          <w:rFonts w:hint="eastAsia" w:ascii="仿宋_GB2312" w:hAnsi="仿宋_GB2312" w:eastAsia="仿宋_GB2312"/>
          <w:sz w:val="32"/>
          <w:szCs w:val="32"/>
          <w:lang w:val="zh-CN"/>
        </w:rPr>
        <w:t>年（20</w:t>
      </w:r>
      <w:r>
        <w:rPr>
          <w:rFonts w:hint="eastAsia" w:ascii="仿宋_GB2312" w:hAnsi="仿宋_GB2312" w:eastAsia="仿宋_GB2312"/>
          <w:sz w:val="32"/>
          <w:szCs w:val="32"/>
          <w:u w:val="single"/>
          <w:lang w:val="en-US" w:eastAsia="zh-CN"/>
        </w:rPr>
        <w:t>15</w:t>
      </w:r>
      <w:r>
        <w:rPr>
          <w:rFonts w:hint="eastAsia" w:ascii="仿宋_GB2312" w:hAnsi="仿宋_GB2312" w:eastAsia="仿宋_GB2312"/>
          <w:sz w:val="32"/>
          <w:szCs w:val="32"/>
          <w:lang w:val="zh-CN"/>
        </w:rPr>
        <w:t>-20</w:t>
      </w:r>
      <w:r>
        <w:rPr>
          <w:rFonts w:hint="eastAsia" w:ascii="仿宋_GB2312" w:hAnsi="仿宋_GB2312" w:eastAsia="仿宋_GB2312"/>
          <w:sz w:val="32"/>
          <w:szCs w:val="32"/>
          <w:u w:val="single"/>
          <w:lang w:val="en-US" w:eastAsia="zh-CN"/>
        </w:rPr>
        <w:t>19</w:t>
      </w:r>
      <w:r>
        <w:rPr>
          <w:rFonts w:hint="eastAsia" w:ascii="仿宋_GB2312" w:hAnsi="仿宋_GB2312" w:eastAsia="仿宋_GB2312"/>
          <w:sz w:val="32"/>
          <w:szCs w:val="32"/>
          <w:lang w:val="zh-CN"/>
        </w:rPr>
        <w:t>年）企业每获得一次市级以上（含市级）行业行政主管部门颁发的奖励</w:t>
      </w:r>
      <w:r>
        <w:rPr>
          <w:rFonts w:hint="eastAsia" w:ascii="仿宋_GB2312" w:hAnsi="仿宋_GB2312" w:eastAsia="仿宋_GB2312"/>
          <w:color w:val="FF0000"/>
          <w:sz w:val="32"/>
          <w:szCs w:val="32"/>
          <w:lang w:val="zh-CN"/>
        </w:rPr>
        <w:t>（不含企业所属评估人员所得的奖励）</w:t>
      </w:r>
      <w:r>
        <w:rPr>
          <w:rFonts w:hint="eastAsia" w:ascii="仿宋_GB2312" w:hAnsi="仿宋_GB2312" w:eastAsia="仿宋_GB2312"/>
          <w:sz w:val="32"/>
          <w:szCs w:val="32"/>
          <w:lang w:val="zh-CN"/>
        </w:rPr>
        <w:t>得2分，满分8分</w:t>
      </w:r>
      <w:r>
        <w:rPr>
          <w:rFonts w:hint="eastAsia" w:ascii="仿宋_GB2312" w:hAnsi="仿宋_GB2312" w:eastAsia="仿宋_GB2312"/>
          <w:color w:val="FF0000"/>
          <w:sz w:val="32"/>
          <w:szCs w:val="32"/>
          <w:lang w:val="zh-CN"/>
        </w:rPr>
        <w:t>（需提供相关证明文件的复印件并加盖公章）</w:t>
      </w:r>
      <w:r>
        <w:rPr>
          <w:rFonts w:hint="eastAsia" w:ascii="仿宋_GB2312" w:hAnsi="仿宋_GB2312"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现场评分=实施方案得分+相关工作经验得分+资质水平得分</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537" w:firstLineChars="168"/>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4、现场评分由评审小组成员打分，采取去掉一个最高分和一个最低分，计算其余评分的平均分得出现场评分。</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537" w:firstLineChars="168"/>
        <w:textAlignment w:val="auto"/>
        <w:rPr>
          <w:rFonts w:hint="eastAsia" w:ascii="仿宋_GB2312" w:hAnsi="仿宋_GB2312" w:eastAsia="仿宋_GB2312"/>
          <w:sz w:val="32"/>
          <w:szCs w:val="32"/>
          <w:lang w:val="zh-CN"/>
        </w:rPr>
      </w:pPr>
      <w:r>
        <w:rPr>
          <w:rFonts w:hint="eastAsia" w:ascii="仿宋_GB2312" w:hAnsi="仿宋_GB2312" w:eastAsia="仿宋_GB2312"/>
          <w:sz w:val="32"/>
          <w:szCs w:val="32"/>
          <w:lang w:val="zh-CN"/>
        </w:rPr>
        <w:t>5、竞聘人总得分=报价分数+现场评分分数。</w:t>
      </w:r>
    </w:p>
    <w:p>
      <w:pPr>
        <w:keepNext w:val="0"/>
        <w:keepLines w:val="0"/>
        <w:pageBreakBefore w:val="0"/>
        <w:widowControl w:val="0"/>
        <w:tabs>
          <w:tab w:val="left" w:pos="1800"/>
        </w:tabs>
        <w:kinsoku/>
        <w:wordWrap/>
        <w:overflowPunct/>
        <w:topLinePunct w:val="0"/>
        <w:autoSpaceDE/>
        <w:autoSpaceDN/>
        <w:bidi w:val="0"/>
        <w:adjustRightInd/>
        <w:snapToGrid/>
        <w:spacing w:line="440" w:lineRule="exact"/>
        <w:ind w:left="644"/>
        <w:textAlignment w:val="auto"/>
        <w:rPr>
          <w:rFonts w:hint="eastAsia" w:ascii="仿宋_GB2312" w:hAnsi="仿宋_GB2312" w:eastAsia="仿宋_GB2312"/>
          <w:b/>
          <w:sz w:val="32"/>
          <w:szCs w:val="32"/>
          <w:lang w:val="zh-CN"/>
        </w:rPr>
      </w:pPr>
      <w:r>
        <w:rPr>
          <w:rFonts w:hint="eastAsia" w:ascii="仿宋_GB2312" w:hAnsi="仿宋_GB2312" w:eastAsia="仿宋_GB2312"/>
          <w:b/>
          <w:sz w:val="32"/>
          <w:szCs w:val="32"/>
          <w:lang w:val="zh-CN"/>
        </w:rPr>
        <w:t>二、评审规定</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1.评审采用综合评分法，由评审小组成员根据竞聘人总得分确定中选人。</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left="643"/>
        <w:textAlignment w:val="auto"/>
        <w:rPr>
          <w:rFonts w:hint="eastAsia" w:ascii="仿宋_GB2312" w:eastAsia="仿宋_GB2312"/>
          <w:sz w:val="32"/>
          <w:szCs w:val="32"/>
        </w:rPr>
      </w:pPr>
      <w:r>
        <w:rPr>
          <w:rFonts w:hint="eastAsia" w:ascii="仿宋_GB2312" w:eastAsia="仿宋_GB2312"/>
          <w:sz w:val="32"/>
          <w:szCs w:val="32"/>
        </w:rPr>
        <w:t>2.以下竞聘文件为无效竞聘文件：</w:t>
      </w:r>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提供的有关资格证明文件不真实的；</w:t>
      </w:r>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对选聘文件的实质性要求和条件未做出全面响应的；</w:t>
      </w:r>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未按要求密封或未加盖单位公章的；</w:t>
      </w:r>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总机构和所属分支机构同时投同一项目的；</w:t>
      </w:r>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未按规定截止时间前递交的竞聘申请书的</w:t>
      </w:r>
      <w:r>
        <w:rPr>
          <w:rFonts w:hint="eastAsia" w:ascii="仿宋_GB2312" w:eastAsia="仿宋_GB2312"/>
          <w:sz w:val="32"/>
          <w:szCs w:val="32"/>
          <w:lang w:eastAsia="zh-CN"/>
        </w:rPr>
        <w:t>；</w:t>
      </w:r>
      <w:bookmarkStart w:id="0" w:name="_GoBack"/>
      <w:bookmarkEnd w:id="0"/>
    </w:p>
    <w:p>
      <w:pPr>
        <w:keepNext w:val="0"/>
        <w:keepLines w:val="0"/>
        <w:pageBreakBefore w:val="0"/>
        <w:widowControl w:val="0"/>
        <w:numPr>
          <w:ilvl w:val="0"/>
          <w:numId w:val="4"/>
        </w:numPr>
        <w:tabs>
          <w:tab w:val="left" w:pos="1440"/>
          <w:tab w:val="clear" w:pos="1725"/>
        </w:tabs>
        <w:kinsoku/>
        <w:wordWrap/>
        <w:overflowPunct/>
        <w:topLinePunct w:val="0"/>
        <w:autoSpaceDE/>
        <w:autoSpaceDN/>
        <w:bidi w:val="0"/>
        <w:adjustRightInd/>
        <w:snapToGrid/>
        <w:spacing w:line="440" w:lineRule="exact"/>
        <w:ind w:left="0" w:firstLine="645"/>
        <w:textAlignment w:val="auto"/>
        <w:rPr>
          <w:rFonts w:hint="eastAsia" w:ascii="仿宋_GB2312" w:eastAsia="仿宋_GB2312"/>
          <w:sz w:val="32"/>
          <w:szCs w:val="32"/>
        </w:rPr>
      </w:pPr>
      <w:r>
        <w:rPr>
          <w:rFonts w:hint="eastAsia" w:ascii="仿宋_GB2312" w:eastAsia="仿宋_GB2312"/>
          <w:sz w:val="32"/>
          <w:szCs w:val="32"/>
        </w:rPr>
        <w:t>违反其他法律、法规或有关规定的。</w:t>
      </w:r>
    </w:p>
    <w:p>
      <w:pPr>
        <w:keepNext w:val="0"/>
        <w:keepLines w:val="0"/>
        <w:pageBreakBefore w:val="0"/>
        <w:widowControl w:val="0"/>
        <w:tabs>
          <w:tab w:val="left" w:pos="1440"/>
        </w:tabs>
        <w:kinsoku/>
        <w:wordWrap/>
        <w:overflowPunct/>
        <w:topLinePunct w:val="0"/>
        <w:autoSpaceDE/>
        <w:autoSpaceDN/>
        <w:bidi w:val="0"/>
        <w:adjustRightInd/>
        <w:snapToGrid/>
        <w:spacing w:line="440" w:lineRule="exact"/>
        <w:ind w:left="645"/>
        <w:textAlignment w:val="auto"/>
        <w:rPr>
          <w:rFonts w:hint="eastAsia" w:ascii="仿宋_GB2312" w:eastAsia="仿宋_GB2312"/>
          <w:sz w:val="32"/>
          <w:szCs w:val="32"/>
        </w:rPr>
      </w:pPr>
      <w:r>
        <w:rPr>
          <w:rFonts w:hint="eastAsia" w:ascii="仿宋_GB2312" w:eastAsia="仿宋_GB2312"/>
          <w:sz w:val="32"/>
          <w:szCs w:val="32"/>
        </w:rPr>
        <w:t>3.其他</w:t>
      </w:r>
    </w:p>
    <w:p>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选的竞聘人不按要求签订合同、擅自转让项目、放弃参选项目或者在参选过程中有违法违规行为的，将取消本次参选和中选资格并取消以后参加我集团公司项目的竞聘资格，总得分第二位的竞聘人自动获得中选资格。</w:t>
      </w:r>
    </w:p>
    <w:p>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总得分第二位的竞聘人亦违反上述规定的，由选聘人重新组织选聘。</w:t>
      </w:r>
    </w:p>
    <w:p>
      <w:pPr>
        <w:spacing w:line="500" w:lineRule="exact"/>
        <w:jc w:val="center"/>
        <w:textAlignment w:val="baseline"/>
        <w:rPr>
          <w:rFonts w:hint="eastAsia" w:ascii="Calibri" w:hAnsi="Calibri" w:eastAsia="黑体"/>
          <w:b/>
          <w:sz w:val="48"/>
        </w:rPr>
      </w:pPr>
    </w:p>
    <w:p>
      <w:pPr>
        <w:spacing w:line="500" w:lineRule="exact"/>
        <w:jc w:val="center"/>
        <w:textAlignment w:val="baseline"/>
        <w:rPr>
          <w:rFonts w:hint="eastAsia" w:ascii="Calibri" w:hAnsi="Calibri" w:eastAsia="黑体"/>
          <w:b/>
          <w:sz w:val="48"/>
        </w:rPr>
      </w:pPr>
      <w:r>
        <w:rPr>
          <w:rFonts w:hint="eastAsia" w:ascii="Calibri" w:hAnsi="Calibri" w:eastAsia="黑体"/>
          <w:b/>
          <w:sz w:val="48"/>
        </w:rPr>
        <w:t>业 务 约 定 书</w:t>
      </w:r>
    </w:p>
    <w:p>
      <w:pPr>
        <w:spacing w:line="500" w:lineRule="exact"/>
        <w:ind w:firstLine="3064" w:firstLineChars="1090"/>
        <w:textAlignment w:val="baseline"/>
        <w:rPr>
          <w:rFonts w:hint="eastAsia" w:ascii="Calibri" w:hAnsi="Calibri" w:eastAsia="黑体"/>
          <w:b/>
          <w:sz w:val="28"/>
          <w:u w:val="single"/>
        </w:rPr>
      </w:pPr>
      <w:r>
        <w:rPr>
          <w:rFonts w:hint="eastAsia" w:ascii="Calibri" w:hAnsi="Calibri" w:eastAsia="黑体"/>
          <w:b/>
          <w:sz w:val="28"/>
        </w:rPr>
        <w:t xml:space="preserve"> </w:t>
      </w:r>
    </w:p>
    <w:p>
      <w:p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甲方（委托单位名称）：南宁建宁水务投资集团有限责任公司</w:t>
      </w:r>
    </w:p>
    <w:p>
      <w:p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 xml:space="preserve">乙方（中介机构名称）： </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经双方协商，就委托评估事项协议如下：</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业务内容</w:t>
      </w:r>
    </w:p>
    <w:p>
      <w:pPr>
        <w:spacing w:line="48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    资产持有单位名称：南宁建宁水务投资集团有限责任公司</w:t>
      </w:r>
    </w:p>
    <w:p>
      <w:pPr>
        <w:spacing w:line="48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    资产评估目的：</w:t>
      </w:r>
    </w:p>
    <w:p>
      <w:pPr>
        <w:spacing w:line="480" w:lineRule="exact"/>
        <w:ind w:firstLine="560" w:firstLineChars="200"/>
        <w:rPr>
          <w:rFonts w:hint="eastAsia" w:ascii="仿宋_GB2312" w:hAnsi="华文中宋" w:eastAsia="仿宋_GB2312"/>
          <w:color w:val="FF0000"/>
          <w:sz w:val="28"/>
          <w:szCs w:val="28"/>
        </w:rPr>
      </w:pPr>
      <w:r>
        <w:rPr>
          <w:rFonts w:hint="eastAsia" w:ascii="仿宋_GB2312" w:hAnsi="华文中宋" w:eastAsia="仿宋_GB2312"/>
          <w:sz w:val="28"/>
          <w:szCs w:val="28"/>
          <w:lang w:val="zh-CN"/>
        </w:rPr>
        <w:t>资产评估对象：</w:t>
      </w:r>
    </w:p>
    <w:p>
      <w:pPr>
        <w:spacing w:line="480" w:lineRule="exact"/>
        <w:rPr>
          <w:rFonts w:hint="eastAsia" w:ascii="仿宋_GB2312" w:hAnsi="华文中宋" w:eastAsia="仿宋_GB2312"/>
          <w:color w:val="FF0000"/>
          <w:sz w:val="28"/>
          <w:szCs w:val="28"/>
        </w:rPr>
      </w:pPr>
      <w:r>
        <w:rPr>
          <w:rFonts w:hint="eastAsia" w:ascii="仿宋_GB2312" w:hAnsi="华文中宋" w:eastAsia="仿宋_GB2312"/>
          <w:sz w:val="28"/>
          <w:szCs w:val="28"/>
        </w:rPr>
        <w:t xml:space="preserve">    资产评估基准日：</w:t>
      </w:r>
      <w:r>
        <w:rPr>
          <w:rFonts w:hint="eastAsia" w:ascii="仿宋_GB2312" w:hAnsi="华文中宋" w:eastAsia="仿宋_GB2312"/>
          <w:sz w:val="28"/>
          <w:szCs w:val="28"/>
          <w:lang w:val="en-US" w:eastAsia="zh-CN"/>
        </w:rPr>
        <w:t>2020</w:t>
      </w:r>
      <w:r>
        <w:rPr>
          <w:rFonts w:hint="eastAsia" w:ascii="仿宋_GB2312" w:hAnsi="华文中宋" w:eastAsia="仿宋_GB2312"/>
          <w:color w:val="FF0000"/>
          <w:sz w:val="28"/>
          <w:szCs w:val="28"/>
        </w:rPr>
        <w:t>年</w:t>
      </w:r>
      <w:r>
        <w:rPr>
          <w:rFonts w:hint="eastAsia" w:ascii="仿宋_GB2312" w:hAnsi="华文中宋" w:eastAsia="仿宋_GB2312"/>
          <w:color w:val="FF0000"/>
          <w:sz w:val="28"/>
          <w:szCs w:val="28"/>
          <w:u w:val="single"/>
          <w:lang w:val="en-US" w:eastAsia="zh-CN"/>
        </w:rPr>
        <w:t xml:space="preserve"> </w:t>
      </w:r>
      <w:r>
        <w:rPr>
          <w:rFonts w:hint="eastAsia" w:ascii="仿宋_GB2312" w:hAnsi="华文中宋" w:eastAsia="仿宋_GB2312"/>
          <w:color w:val="FF0000"/>
          <w:sz w:val="28"/>
          <w:szCs w:val="28"/>
        </w:rPr>
        <w:t>月</w:t>
      </w:r>
      <w:r>
        <w:rPr>
          <w:rFonts w:hint="eastAsia" w:ascii="仿宋_GB2312" w:hAnsi="华文中宋" w:eastAsia="仿宋_GB2312"/>
          <w:color w:val="FF0000"/>
          <w:sz w:val="28"/>
          <w:szCs w:val="28"/>
          <w:u w:val="single"/>
          <w:lang w:val="en-US" w:eastAsia="zh-CN"/>
        </w:rPr>
        <w:t xml:space="preserve">  </w:t>
      </w:r>
      <w:r>
        <w:rPr>
          <w:rFonts w:hint="eastAsia" w:ascii="仿宋_GB2312" w:hAnsi="华文中宋" w:eastAsia="仿宋_GB2312"/>
          <w:color w:val="FF0000"/>
          <w:sz w:val="28"/>
          <w:szCs w:val="28"/>
        </w:rPr>
        <w:t>日</w:t>
      </w:r>
    </w:p>
    <w:p>
      <w:pPr>
        <w:spacing w:line="480" w:lineRule="exact"/>
        <w:ind w:firstLine="560" w:firstLineChars="200"/>
        <w:rPr>
          <w:rFonts w:hint="eastAsia" w:ascii="仿宋_GB2312" w:hAnsi="华文中宋" w:eastAsia="仿宋_GB2312" w:cs="仿宋_GB2312"/>
          <w:color w:val="FF0000"/>
          <w:sz w:val="28"/>
          <w:szCs w:val="28"/>
        </w:rPr>
      </w:pPr>
      <w:r>
        <w:rPr>
          <w:rFonts w:hint="eastAsia" w:ascii="仿宋_GB2312" w:hAnsi="华文中宋" w:eastAsia="仿宋_GB2312"/>
          <w:sz w:val="28"/>
          <w:szCs w:val="28"/>
        </w:rPr>
        <w:t>评估报告书使用者：</w:t>
      </w:r>
      <w:r>
        <w:rPr>
          <w:rFonts w:hint="eastAsia" w:ascii="仿宋_GB2312" w:hAnsi="华文中宋" w:eastAsia="仿宋_GB2312"/>
          <w:color w:val="FF0000"/>
          <w:sz w:val="28"/>
          <w:szCs w:val="28"/>
        </w:rPr>
        <w:t>南宁建宁水务投资集团有限责任公司</w:t>
      </w:r>
    </w:p>
    <w:p>
      <w:pPr>
        <w:spacing w:line="480" w:lineRule="exact"/>
        <w:ind w:firstLine="632" w:firstLineChars="225"/>
        <w:rPr>
          <w:rFonts w:hint="eastAsia" w:ascii="仿宋_GB2312" w:hAnsi="华文中宋" w:eastAsia="仿宋_GB2312"/>
          <w:b/>
          <w:sz w:val="28"/>
          <w:szCs w:val="28"/>
        </w:rPr>
      </w:pPr>
      <w:r>
        <w:rPr>
          <w:rFonts w:hint="eastAsia" w:ascii="仿宋_GB2312" w:hAnsi="华文中宋" w:eastAsia="仿宋_GB2312"/>
          <w:b/>
          <w:sz w:val="28"/>
          <w:szCs w:val="28"/>
        </w:rPr>
        <w:t>甲方及其下属的责任和义务</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1、提供必要的资料并保证所提供资料的真实性、合法性、完整性，恰当使用评估报告是委托方和相关当事方的责任。</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2、在评估人员的指导和参与下，对待评估资产及有关债权、债务在</w:t>
      </w:r>
      <w:r>
        <w:rPr>
          <w:rFonts w:hint="eastAsia" w:ascii="仿宋_GB2312" w:hAnsi="华文中宋" w:eastAsia="仿宋_GB2312"/>
          <w:sz w:val="28"/>
          <w:szCs w:val="28"/>
          <w:u w:val="single"/>
        </w:rPr>
        <w:t xml:space="preserve">        20   </w:t>
      </w:r>
      <w:r>
        <w:rPr>
          <w:rFonts w:hint="eastAsia" w:ascii="仿宋_GB2312" w:hAnsi="华文中宋" w:eastAsia="仿宋_GB2312"/>
          <w:sz w:val="28"/>
          <w:szCs w:val="28"/>
        </w:rPr>
        <w:t>年</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月</w:t>
      </w:r>
      <w:r>
        <w:rPr>
          <w:rFonts w:hint="eastAsia" w:ascii="仿宋_GB2312" w:hAnsi="华文中宋" w:eastAsia="仿宋_GB2312"/>
          <w:sz w:val="28"/>
          <w:szCs w:val="28"/>
          <w:u w:val="single"/>
        </w:rPr>
        <w:t xml:space="preserve">  </w:t>
      </w:r>
      <w:r>
        <w:rPr>
          <w:rFonts w:hint="eastAsia" w:ascii="仿宋_GB2312" w:hAnsi="华文中宋" w:eastAsia="仿宋_GB2312"/>
          <w:color w:val="FF0000"/>
          <w:sz w:val="28"/>
          <w:szCs w:val="28"/>
          <w:u w:val="single"/>
        </w:rPr>
        <w:t xml:space="preserve">  </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日前进行全面清查并完成下述工作；在评估人员的指导下，按评估要求填写各资产、负债《清查申报明细表》及有关资料；</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3、应及时提供评估机构所需的会计资料、房屋所有权证、土地使用证及其他产权证明文件等评估对象法律权属资料和与评估目的相关的经济情形的批准文件，根据乙方要求收集提供评估所需的有关资料，</w:t>
      </w:r>
      <w:r>
        <w:rPr>
          <w:rFonts w:hint="eastAsia" w:ascii="仿宋_GB2312" w:hAnsi="华文中宋" w:eastAsia="仿宋_GB2312"/>
          <w:b/>
          <w:sz w:val="28"/>
          <w:szCs w:val="28"/>
        </w:rPr>
        <w:t>甲方或者产权持有者应当对其提供的评估明细表及相关证明材料以签字、盖章或者其他方式进行确认。</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4、配合评估人员进行现场查勘，如实提供机器设备维修保养、大修记录，房屋建筑物维护保养、扩建拆除记录，如实反映库存物资质量状况和账外实存资产等情况；</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5、为评估人员妥善解决工作场地及评估工作中其他必要条件；</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6、按评估业务约定规定及时足额支付评估费用。</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乙方的责任和义务</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1、根据《资产评估准则——基本准则》第二十三条的规定，遵守相关法律、法规和资产评估准则，对评估对象在评估基准日特定目的下的价值进行分析、估算并发表专业意见，是注册资产评估师的责任；</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2、指导甲方进行企业清查、填报资产及收集准备资料；</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3、对申报评估资产进行抽查核实，实地调查，实事求是地对资产进行调查勘察；</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4、对在评估过程中知悉的关于委托方、资产持有方的商业秘密保密；</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乙方承接本次资产评估业务的目的是对评估对象价值进行估算并发表专业意见，注册资产评估师对评估对象的法律权属状况应当给予必要的关注，但不对评估对象的法律权属作任何形式的保证，对评估对象法律权属确认或发表意见超出注册资产评估执行范围；</w:t>
      </w:r>
    </w:p>
    <w:p>
      <w:pPr>
        <w:spacing w:line="480" w:lineRule="exact"/>
        <w:ind w:firstLine="560" w:firstLineChars="200"/>
        <w:rPr>
          <w:rFonts w:hint="eastAsia" w:ascii="仿宋_GB2312" w:hAnsi="华文中宋" w:eastAsia="仿宋_GB2312"/>
          <w:sz w:val="28"/>
          <w:szCs w:val="28"/>
          <w:u w:val="single"/>
        </w:rPr>
      </w:pPr>
      <w:r>
        <w:rPr>
          <w:rFonts w:hint="eastAsia" w:ascii="仿宋_GB2312" w:hAnsi="华文中宋" w:eastAsia="仿宋_GB2312"/>
          <w:sz w:val="28"/>
          <w:szCs w:val="28"/>
        </w:rPr>
        <w:t>6、乙方原则上在甲方提供评估所需全部资料的基础上，在</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年</w:t>
      </w:r>
      <w:r>
        <w:rPr>
          <w:rFonts w:hint="eastAsia" w:ascii="仿宋_GB2312" w:hAnsi="华文中宋" w:eastAsia="仿宋_GB2312"/>
          <w:sz w:val="28"/>
          <w:szCs w:val="28"/>
          <w:u w:val="single"/>
        </w:rPr>
        <w:t xml:space="preserve">      </w:t>
      </w:r>
    </w:p>
    <w:p>
      <w:pPr>
        <w:spacing w:line="480" w:lineRule="exact"/>
        <w:rPr>
          <w:rFonts w:hint="eastAsia" w:ascii="仿宋_GB2312" w:hAnsi="华文中宋" w:eastAsia="仿宋_GB2312"/>
          <w:sz w:val="28"/>
          <w:szCs w:val="28"/>
        </w:rPr>
      </w:pPr>
      <w:r>
        <w:rPr>
          <w:rFonts w:hint="eastAsia" w:ascii="仿宋_GB2312" w:hAnsi="华文中宋" w:eastAsia="仿宋_GB2312"/>
          <w:sz w:val="28"/>
          <w:szCs w:val="28"/>
        </w:rPr>
        <w:t>月</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日提交评估报告书，如遇特殊情况双方可协商解决。</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评估收费</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根据</w:t>
      </w:r>
      <w:r>
        <w:rPr>
          <w:rFonts w:hint="eastAsia" w:ascii="仿宋_GB2312" w:hAnsi="华文中宋" w:eastAsia="仿宋_GB2312"/>
          <w:sz w:val="28"/>
          <w:szCs w:val="28"/>
          <w:u w:val="single"/>
        </w:rPr>
        <w:t xml:space="preserve">  甲方发出的中选通知书  </w:t>
      </w:r>
      <w:r>
        <w:rPr>
          <w:rFonts w:hint="eastAsia" w:ascii="仿宋_GB2312" w:hAnsi="华文中宋" w:eastAsia="仿宋_GB2312"/>
          <w:sz w:val="28"/>
          <w:szCs w:val="28"/>
        </w:rPr>
        <w:t>的规定，协议约定本次评估费用为</w:t>
      </w:r>
    </w:p>
    <w:p>
      <w:pPr>
        <w:spacing w:line="480" w:lineRule="exact"/>
        <w:rPr>
          <w:rFonts w:hint="eastAsia" w:ascii="仿宋_GB2312" w:hAnsi="华文中宋" w:eastAsia="仿宋_GB2312"/>
          <w:sz w:val="28"/>
          <w:szCs w:val="28"/>
        </w:rPr>
      </w:pP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元整（</w:t>
      </w:r>
      <w:r>
        <w:rPr>
          <w:rFonts w:ascii="Arial" w:hAnsi="Arial" w:eastAsia="仿宋_GB2312" w:cs="Arial"/>
          <w:sz w:val="28"/>
          <w:szCs w:val="28"/>
        </w:rPr>
        <w:t>¥</w:t>
      </w:r>
      <w:r>
        <w:rPr>
          <w:rFonts w:hint="eastAsia" w:ascii="Arial" w:hAnsi="Arial" w:eastAsia="仿宋_GB2312" w:cs="Arial"/>
          <w:sz w:val="28"/>
          <w:szCs w:val="28"/>
          <w:u w:val="single"/>
        </w:rPr>
        <w:t xml:space="preserve">     </w:t>
      </w:r>
      <w:r>
        <w:rPr>
          <w:rFonts w:hint="eastAsia" w:ascii="Arial" w:hAnsi="Arial" w:eastAsia="仿宋_GB2312" w:cs="Arial"/>
          <w:sz w:val="28"/>
          <w:szCs w:val="28"/>
        </w:rPr>
        <w:t>元</w:t>
      </w:r>
      <w:r>
        <w:rPr>
          <w:rFonts w:hint="eastAsia" w:ascii="仿宋_GB2312" w:hAnsi="华文中宋" w:eastAsia="仿宋_GB2312"/>
          <w:sz w:val="28"/>
          <w:szCs w:val="28"/>
        </w:rPr>
        <w:t>），乙方完成本次评估提交最终报告书时甲方一次性支付评估费</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元整（</w:t>
      </w:r>
      <w:r>
        <w:rPr>
          <w:rFonts w:ascii="Arial" w:hAnsi="Arial" w:eastAsia="仿宋_GB2312" w:cs="Arial"/>
          <w:sz w:val="28"/>
          <w:szCs w:val="28"/>
        </w:rPr>
        <w:t>¥</w:t>
      </w:r>
      <w:r>
        <w:rPr>
          <w:rFonts w:hint="eastAsia" w:ascii="Arial" w:hAnsi="Arial" w:eastAsia="仿宋_GB2312" w:cs="Arial"/>
          <w:sz w:val="28"/>
          <w:szCs w:val="28"/>
          <w:u w:val="single"/>
        </w:rPr>
        <w:t xml:space="preserve">      </w:t>
      </w:r>
      <w:r>
        <w:rPr>
          <w:rFonts w:hint="eastAsia" w:ascii="Arial" w:hAnsi="Arial" w:eastAsia="仿宋_GB2312" w:cs="Arial"/>
          <w:sz w:val="28"/>
          <w:szCs w:val="28"/>
        </w:rPr>
        <w:t>元</w:t>
      </w:r>
      <w:r>
        <w:rPr>
          <w:rFonts w:hint="eastAsia" w:ascii="仿宋_GB2312" w:hAnsi="华文中宋" w:eastAsia="仿宋_GB2312"/>
          <w:sz w:val="28"/>
          <w:szCs w:val="28"/>
        </w:rPr>
        <w:t>）。</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评估报告的使用责任</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乙方向甲方提交评估报告书共计</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份，其中</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份附带有关评估明细资料；评估报告仅供委托方和业务约定书约定的其他评估报告使用者使用，法律、法规另有规定的除外。评估报告中的评估结论仅供甲方为本业务约定书中的评估目的使用和送交财产评估主管机关审查使用，甲方应当合理使用评估报告，因甲方和其他评估报告使用者使用不当造成的后果注册资产评估师及其所在评估机构不承担因评估报告使用不当所造成后果的责任。</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约定事项的变更及违约责任</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如因甲方原因致使本次评估工作终止，乙方已收取的费用不退还，甲方另应支付乙方已完成工作量相应的费用。</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如乙方自身原因中途退出本次评估，乙方应双倍退还已收取的费用。</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签约一方不履行约定义务或者履行约定义务不符合约定的，在履行义务或者采取补救措施后，对方还有其他损失的，应当赔偿损失。</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签约各方因不可抗力无法履行业务约定书的，根据不可抗力的影响，部分或者全部免除责任，法律另有规定的除外。</w:t>
      </w:r>
    </w:p>
    <w:p>
      <w:pPr>
        <w:numPr>
          <w:ilvl w:val="0"/>
          <w:numId w:val="5"/>
        </w:numPr>
        <w:tabs>
          <w:tab w:val="left" w:pos="0"/>
        </w:tabs>
        <w:spacing w:line="480" w:lineRule="exact"/>
        <w:ind w:left="0" w:firstLine="180"/>
        <w:rPr>
          <w:rFonts w:hint="eastAsia" w:ascii="仿宋_GB2312" w:hAnsi="华文中宋" w:eastAsia="仿宋_GB2312"/>
          <w:b/>
          <w:sz w:val="28"/>
          <w:szCs w:val="28"/>
        </w:rPr>
      </w:pPr>
      <w:r>
        <w:rPr>
          <w:rFonts w:hint="eastAsia" w:ascii="仿宋_GB2312" w:hAnsi="华文中宋" w:eastAsia="仿宋_GB2312"/>
          <w:b/>
          <w:sz w:val="28"/>
          <w:szCs w:val="28"/>
        </w:rPr>
        <w:t>纠纷解决</w:t>
      </w:r>
    </w:p>
    <w:p>
      <w:pPr>
        <w:spacing w:line="48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凡与本合同有关而引起的一切争议，双方应首先通过友好协商解决，协商不成时，可向甲方所在地人民法院提起诉讼。</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业务约定书生效期，本约定书自双方签字盖章之日起生效。</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本约定书一式陆份，甲方执肆份，乙方执贰份。</w:t>
      </w:r>
    </w:p>
    <w:p>
      <w:pPr>
        <w:numPr>
          <w:ilvl w:val="0"/>
          <w:numId w:val="5"/>
        </w:numPr>
        <w:spacing w:line="480" w:lineRule="exact"/>
        <w:rPr>
          <w:rFonts w:hint="eastAsia" w:ascii="仿宋_GB2312" w:hAnsi="华文中宋" w:eastAsia="仿宋_GB2312"/>
          <w:b/>
          <w:sz w:val="28"/>
          <w:szCs w:val="28"/>
        </w:rPr>
      </w:pPr>
      <w:r>
        <w:rPr>
          <w:rFonts w:hint="eastAsia" w:ascii="仿宋_GB2312" w:hAnsi="华文中宋" w:eastAsia="仿宋_GB2312"/>
          <w:b/>
          <w:sz w:val="28"/>
          <w:szCs w:val="28"/>
        </w:rPr>
        <w:t>甲乙双方对其他有关事宜的约定。</w:t>
      </w:r>
    </w:p>
    <w:p>
      <w:pPr>
        <w:spacing w:line="480" w:lineRule="exact"/>
        <w:ind w:left="180"/>
        <w:rPr>
          <w:rFonts w:hint="eastAsia" w:ascii="仿宋_GB2312" w:hAnsi="华文中宋" w:eastAsia="仿宋_GB2312"/>
          <w:b/>
          <w:sz w:val="28"/>
          <w:szCs w:val="28"/>
        </w:rPr>
      </w:pPr>
    </w:p>
    <w:p>
      <w:pPr>
        <w:spacing w:line="480" w:lineRule="exact"/>
        <w:ind w:left="180"/>
        <w:rPr>
          <w:rFonts w:hint="eastAsia" w:ascii="仿宋_GB2312" w:hAnsi="华文中宋" w:eastAsia="仿宋_GB2312"/>
          <w:b/>
          <w:sz w:val="28"/>
          <w:szCs w:val="28"/>
        </w:rPr>
      </w:pPr>
      <w:r>
        <w:rPr>
          <w:rFonts w:hint="eastAsia" w:ascii="仿宋_GB2312" w:hAnsi="华文中宋" w:eastAsia="仿宋_GB2312"/>
          <w:b/>
          <w:sz w:val="28"/>
          <w:szCs w:val="28"/>
        </w:rPr>
        <w:t>附件：资产评估项目明细表</w:t>
      </w:r>
    </w:p>
    <w:p>
      <w:pPr>
        <w:spacing w:line="480" w:lineRule="exact"/>
        <w:ind w:left="180"/>
        <w:rPr>
          <w:rFonts w:hint="eastAsia" w:ascii="仿宋_GB2312" w:hAnsi="华文中宋" w:eastAsia="仿宋_GB2312"/>
          <w:b/>
          <w:sz w:val="28"/>
          <w:szCs w:val="28"/>
        </w:rPr>
      </w:pPr>
    </w:p>
    <w:p>
      <w:pPr>
        <w:spacing w:line="200" w:lineRule="exact"/>
        <w:rPr>
          <w:rFonts w:hint="eastAsia" w:ascii="仿宋_GB2312" w:hAnsi="华文中宋" w:eastAsia="仿宋_GB2312"/>
          <w:sz w:val="28"/>
          <w:szCs w:val="28"/>
        </w:rPr>
      </w:pP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甲方：南宁建宁水务投资集团          乙方：        </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      有限责任公司                          </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法人代表或授权人：                  法人代表或授权人：            </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经办人：                            经办人：</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电话：0771-                </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电话：</w:t>
      </w:r>
    </w:p>
    <w:p>
      <w:pPr>
        <w:spacing w:line="470" w:lineRule="exact"/>
        <w:ind w:left="6720" w:hanging="6720" w:hangingChars="2400"/>
        <w:rPr>
          <w:rFonts w:hint="eastAsia" w:ascii="仿宋_GB2312" w:hAnsi="华文中宋" w:eastAsia="仿宋_GB2312" w:cs="仿宋_GB2312"/>
          <w:sz w:val="28"/>
          <w:szCs w:val="28"/>
        </w:rPr>
      </w:pPr>
      <w:r>
        <w:rPr>
          <w:rFonts w:hint="eastAsia" w:ascii="仿宋_GB2312" w:hAnsi="华文中宋" w:eastAsia="仿宋_GB2312"/>
          <w:sz w:val="28"/>
          <w:szCs w:val="28"/>
        </w:rPr>
        <w:t>地址：南宁</w:t>
      </w:r>
      <w:r>
        <w:rPr>
          <w:rFonts w:hint="eastAsia" w:ascii="仿宋_GB2312" w:hAnsi="华文中宋" w:eastAsia="仿宋_GB2312"/>
          <w:sz w:val="28"/>
          <w:szCs w:val="28"/>
          <w:lang w:eastAsia="zh-CN"/>
        </w:rPr>
        <w:t>市江南区体育路</w:t>
      </w:r>
      <w:r>
        <w:rPr>
          <w:rFonts w:hint="eastAsia" w:ascii="仿宋_GB2312" w:hAnsi="华文中宋" w:eastAsia="仿宋_GB2312"/>
          <w:sz w:val="28"/>
          <w:szCs w:val="28"/>
          <w:lang w:val="en-US" w:eastAsia="zh-CN"/>
        </w:rPr>
        <w:t xml:space="preserve">4号 </w:t>
      </w:r>
      <w:r>
        <w:rPr>
          <w:rFonts w:hint="eastAsia" w:ascii="仿宋_GB2312" w:hAnsi="华文中宋" w:eastAsia="仿宋_GB2312"/>
          <w:sz w:val="28"/>
          <w:szCs w:val="28"/>
        </w:rPr>
        <w:t xml:space="preserve">       地址：                  </w:t>
      </w:r>
      <w:r>
        <w:rPr>
          <w:rFonts w:hint="eastAsia" w:ascii="仿宋_GB2312" w:hAnsi="华文中宋" w:eastAsia="仿宋_GB2312" w:cs="仿宋_GB2312"/>
          <w:sz w:val="28"/>
          <w:szCs w:val="28"/>
        </w:rPr>
        <w:t xml:space="preserve">              </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 xml:space="preserve">邮编：530031                        邮编：                                 </w:t>
      </w:r>
    </w:p>
    <w:p>
      <w:r>
        <w:rPr>
          <w:rFonts w:hint="eastAsia" w:ascii="仿宋_GB2312" w:hAnsi="华文中宋" w:eastAsia="仿宋_GB2312"/>
          <w:sz w:val="28"/>
          <w:szCs w:val="28"/>
        </w:rPr>
        <w:t xml:space="preserve">签订日期：   年   月   日           签订日期：   年   月   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japaneseCounting"/>
      <w:lvlText w:val="%1、"/>
      <w:lvlJc w:val="left"/>
      <w:pPr>
        <w:tabs>
          <w:tab w:val="left" w:pos="600"/>
        </w:tabs>
        <w:ind w:left="60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7D76AFB"/>
    <w:multiLevelType w:val="multilevel"/>
    <w:tmpl w:val="37D76AFB"/>
    <w:lvl w:ilvl="0" w:tentative="0">
      <w:start w:val="1"/>
      <w:numFmt w:val="lowerLetter"/>
      <w:lvlText w:val="%1．"/>
      <w:lvlJc w:val="left"/>
      <w:pPr>
        <w:tabs>
          <w:tab w:val="left" w:pos="1152"/>
        </w:tabs>
        <w:ind w:left="1152" w:hanging="480"/>
      </w:pPr>
      <w:rPr>
        <w:rFonts w:hint="default"/>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2">
    <w:nsid w:val="3C0F38B4"/>
    <w:multiLevelType w:val="multilevel"/>
    <w:tmpl w:val="3C0F38B4"/>
    <w:lvl w:ilvl="0" w:tentative="0">
      <w:start w:val="1"/>
      <w:numFmt w:val="lowerLetter"/>
      <w:lvlText w:val="%1．"/>
      <w:lvlJc w:val="left"/>
      <w:pPr>
        <w:tabs>
          <w:tab w:val="left" w:pos="1152"/>
        </w:tabs>
        <w:ind w:left="1152" w:hanging="480"/>
      </w:pPr>
      <w:rPr>
        <w:rFonts w:hint="default"/>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3">
    <w:nsid w:val="635327E6"/>
    <w:multiLevelType w:val="multilevel"/>
    <w:tmpl w:val="635327E6"/>
    <w:lvl w:ilvl="0" w:tentative="0">
      <w:start w:val="1"/>
      <w:numFmt w:val="decimal"/>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7D2E2180"/>
    <w:multiLevelType w:val="multilevel"/>
    <w:tmpl w:val="7D2E2180"/>
    <w:lvl w:ilvl="0" w:tentative="0">
      <w:start w:val="1"/>
      <w:numFmt w:val="upperLetter"/>
      <w:lvlText w:val="%1．"/>
      <w:lvlJc w:val="left"/>
      <w:pPr>
        <w:tabs>
          <w:tab w:val="left" w:pos="1152"/>
        </w:tabs>
        <w:ind w:left="1152" w:hanging="480"/>
      </w:pPr>
      <w:rPr>
        <w:rFonts w:hint="default"/>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852B0"/>
    <w:rsid w:val="5EE8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szCs w:val="20"/>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2 Char Char Char"/>
    <w:basedOn w:val="1"/>
    <w:link w:val="5"/>
    <w:uiPriority w:val="0"/>
    <w:rPr>
      <w:szCs w:val="20"/>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2020-04-15T07:23:00Z</dcterms:created>
  <dc:creator> 男瞳</dc:creator>
  <cp:lastModifiedBy> 男瞳</cp:lastModifiedBy>
  <dcterms:modified xsi:type="dcterms:W3CDTF">2020-04-15T07:28:43Z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