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2"/>
        <w:spacing w:line="360" w:lineRule="auto"/>
        <w:ind w:firstLine="336" w:firstLineChars="140"/>
        <w:jc w:val="center"/>
        <w:rPr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Arial"/>
          <w:color w:val="auto"/>
          <w:sz w:val="24"/>
        </w:rPr>
        <w:t>报价一览表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76"/>
        <w:gridCol w:w="4326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628" w:type="dxa"/>
            <w:gridSpan w:val="4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left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val="en-US" w:eastAsia="zh-CN"/>
              </w:rPr>
              <w:t>律师事务所名称：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服务类型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服务内容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default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报价（万元/年）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常年法律顾问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color w:val="auto"/>
                <w:sz w:val="24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审查、草拟</w:t>
            </w:r>
            <w:r>
              <w:rPr>
                <w:rFonts w:hint="eastAsia" w:ascii="宋体" w:hAnsi="宋体" w:cs="Arial"/>
                <w:color w:val="auto"/>
                <w:szCs w:val="21"/>
                <w:lang w:eastAsia="zh-CN"/>
              </w:rPr>
              <w:t>集团公司及各控股子公司、分支机构</w:t>
            </w:r>
            <w:r>
              <w:rPr>
                <w:rFonts w:hint="eastAsia" w:ascii="宋体" w:hAnsi="宋体" w:cs="Arial"/>
                <w:color w:val="auto"/>
                <w:szCs w:val="21"/>
              </w:rPr>
              <w:t>对外签署的合同、协议并出具法律意见书；参加有关法律问题的调查、论证；日常法律咨询及普法宣传培训；派驻法律专员等其他法律服务；日常零星咨询；专项法律服务等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诉讼代理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诉讼、仲裁等法律纠纷案件代理服务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按《广西壮族自治区律师服务收费管理实施办法》下浮</w:t>
            </w:r>
            <w:r>
              <w:rPr>
                <w:rFonts w:hint="eastAsia" w:ascii="宋体" w:hAnsi="宋体" w:cs="Arial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%收费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9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lang w:val="en-US" w:eastAsia="zh-CN"/>
              </w:rPr>
              <w:t>风险代理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cs="Arial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为破产、诉讼、仲裁等案件提供法律服务，可按风险代理付费，根据案件复杂程度由双方协商确定付费方式，另行签订补充协议。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pStyle w:val="2"/>
              <w:spacing w:line="360" w:lineRule="auto"/>
              <w:ind w:firstLine="0"/>
              <w:rPr>
                <w:rFonts w:hint="eastAsia" w:ascii="宋体" w:hAnsi="宋体" w:cs="Arial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12065</wp:posOffset>
                      </wp:positionV>
                      <wp:extent cx="1495425" cy="628650"/>
                      <wp:effectExtent l="1905" t="4445" r="762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0.95pt;height:49.5pt;width:117.75pt;z-index:251659264;mso-width-relative:page;mso-height-relative:page;" filled="f" stroked="t" coordsize="21600,21600" o:gfxdata="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0N1w7WAAAACAEAAA8AAAAAAAAAAQAgAAAAIgAAAGRycy9kb3ducmV2LnhtbFBL&#10;AQIUABQAAAAIAIdO4kDes7AC+AEAAOkDAAAOAAAAAAAAAAEAIAAAACUBAABkcnMvZTJvRG9jLnht&#10;bFBLBQYAAAAABgAGAFkBAACP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3"/>
        <w:snapToGrid w:val="0"/>
        <w:spacing w:line="360" w:lineRule="auto"/>
        <w:ind w:firstLine="600"/>
        <w:rPr>
          <w:rFonts w:hint="eastAsia" w:hAnsi="宋体" w:cs="Arial"/>
          <w:color w:val="auto"/>
          <w:lang w:val="en-US" w:eastAsia="zh-CN"/>
        </w:rPr>
      </w:pP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 xml:space="preserve">参选单位授权代表签字：                       </w:t>
      </w: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 xml:space="preserve">参选单位名称：                            </w:t>
      </w:r>
    </w:p>
    <w:p>
      <w:pPr>
        <w:pStyle w:val="3"/>
        <w:snapToGrid w:val="0"/>
        <w:spacing w:line="360" w:lineRule="auto"/>
        <w:ind w:firstLine="60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 xml:space="preserve">公      章:                              </w:t>
      </w:r>
    </w:p>
    <w:p>
      <w:pPr>
        <w:pStyle w:val="3"/>
        <w:snapToGrid w:val="0"/>
        <w:spacing w:line="360" w:lineRule="auto"/>
        <w:ind w:firstLine="420"/>
        <w:rPr>
          <w:rFonts w:hint="eastAsia" w:hAnsi="宋体" w:cs="Arial"/>
          <w:color w:val="auto"/>
          <w:lang w:val="en-US" w:eastAsia="zh-CN"/>
        </w:rPr>
      </w:pPr>
    </w:p>
    <w:p>
      <w:pPr>
        <w:pStyle w:val="3"/>
        <w:snapToGrid w:val="0"/>
        <w:spacing w:line="360" w:lineRule="auto"/>
        <w:ind w:firstLine="42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>注：1、法定代表人或其正式授权人签字并盖公章</w:t>
      </w:r>
    </w:p>
    <w:p>
      <w:pPr>
        <w:pStyle w:val="3"/>
        <w:snapToGrid w:val="0"/>
        <w:spacing w:line="360" w:lineRule="auto"/>
        <w:ind w:firstLine="840" w:firstLineChars="40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>2、必须按上述格式内容进行报价。</w:t>
      </w:r>
    </w:p>
    <w:p>
      <w:pPr>
        <w:pStyle w:val="3"/>
        <w:snapToGrid w:val="0"/>
        <w:spacing w:line="360" w:lineRule="auto"/>
        <w:ind w:firstLine="420"/>
        <w:rPr>
          <w:rFonts w:hint="eastAsia" w:hAnsi="宋体" w:cs="Arial"/>
          <w:color w:val="auto"/>
          <w:lang w:val="en-US" w:eastAsia="zh-CN"/>
        </w:rPr>
      </w:pPr>
      <w:r>
        <w:rPr>
          <w:rFonts w:hint="eastAsia" w:hAnsi="宋体" w:cs="Arial"/>
          <w:color w:val="auto"/>
          <w:lang w:val="en-US" w:eastAsia="zh-CN"/>
        </w:rPr>
        <w:t xml:space="preserve">    3、参选单位应依据用户需求书中的相关要求填写上述文件。</w:t>
      </w:r>
    </w:p>
    <w:p>
      <w:pPr>
        <w:pStyle w:val="3"/>
        <w:snapToGrid w:val="0"/>
        <w:spacing w:line="360" w:lineRule="auto"/>
        <w:ind w:firstLine="420"/>
      </w:pPr>
      <w:r>
        <w:rPr>
          <w:rFonts w:hint="eastAsia" w:hAnsi="宋体" w:cs="Arial"/>
          <w:color w:val="auto"/>
          <w:lang w:val="en-US" w:eastAsia="zh-CN"/>
        </w:rPr>
        <w:t xml:space="preserve">    4、如中选为成交人，律师事务所在执行合同期间内不得提出其他额外费用。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rPr>
        <w:rFonts w:hint="eastAsia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4FDD"/>
    <w:rsid w:val="670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_正文段落"/>
    <w:basedOn w:val="1"/>
    <w:qFormat/>
    <w:uiPriority w:val="0"/>
    <w:pPr>
      <w:widowControl/>
      <w:spacing w:beforeLines="15" w:line="360" w:lineRule="auto"/>
      <w:ind w:firstLine="200" w:firstLineChars="200"/>
      <w:jc w:val="left"/>
    </w:pPr>
    <w:rPr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2023-12-05T08:35:00Z</dcterms:created>
  <dc:creator>xxx</dc:creator>
  <cp:lastModifiedBy>xxx</cp:lastModifiedBy>
  <dcterms:modified xsi:type="dcterms:W3CDTF">2023-12-05T08:36:55Z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CB2B3B4A66FC45EC91C691C070415A02</vt:lpwstr>
  </property>
</Properties>
</file>